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203C" w14:textId="1C23767C" w:rsidR="00F1376E" w:rsidRDefault="00F1376E" w:rsidP="00F1376E">
      <w:pPr>
        <w:jc w:val="center"/>
      </w:pPr>
      <w:r>
        <w:rPr>
          <w:noProof/>
        </w:rPr>
        <w:drawing>
          <wp:inline distT="0" distB="0" distL="0" distR="0" wp14:anchorId="6B8ECDE0" wp14:editId="12212209">
            <wp:extent cx="646430" cy="859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859790"/>
                    </a:xfrm>
                    <a:prstGeom prst="rect">
                      <a:avLst/>
                    </a:prstGeom>
                    <a:noFill/>
                  </pic:spPr>
                </pic:pic>
              </a:graphicData>
            </a:graphic>
          </wp:inline>
        </w:drawing>
      </w:r>
    </w:p>
    <w:p w14:paraId="67E7C1A9" w14:textId="40FD6C1A" w:rsidR="00F1376E" w:rsidRDefault="00F1376E" w:rsidP="00F1376E">
      <w:pPr>
        <w:jc w:val="center"/>
      </w:pPr>
    </w:p>
    <w:p w14:paraId="1BF83A0B" w14:textId="6735BFEB" w:rsidR="00F1376E" w:rsidRPr="0062006A" w:rsidRDefault="00F1376E" w:rsidP="003130EB">
      <w:pPr>
        <w:jc w:val="center"/>
        <w:rPr>
          <w:rFonts w:cstheme="minorHAnsi"/>
          <w:b/>
          <w:bCs/>
          <w:sz w:val="28"/>
          <w:szCs w:val="28"/>
        </w:rPr>
      </w:pPr>
      <w:r w:rsidRPr="0062006A">
        <w:rPr>
          <w:rFonts w:cstheme="minorHAnsi"/>
          <w:b/>
          <w:bCs/>
          <w:sz w:val="28"/>
          <w:szCs w:val="28"/>
        </w:rPr>
        <w:t>WARWICK TOWN COUNCIL</w:t>
      </w:r>
    </w:p>
    <w:p w14:paraId="5DAC8123" w14:textId="68398DE0" w:rsidR="003130EB" w:rsidRDefault="003130EB" w:rsidP="003130EB">
      <w:pPr>
        <w:jc w:val="center"/>
        <w:rPr>
          <w:rFonts w:cstheme="minorHAnsi"/>
          <w:b/>
          <w:bCs/>
          <w:sz w:val="40"/>
          <w:szCs w:val="40"/>
        </w:rPr>
      </w:pPr>
      <w:r w:rsidRPr="003130EB">
        <w:rPr>
          <w:rFonts w:cstheme="minorHAnsi"/>
          <w:b/>
          <w:bCs/>
          <w:sz w:val="40"/>
          <w:szCs w:val="40"/>
        </w:rPr>
        <w:t>INVESTMENT POLICY</w:t>
      </w:r>
    </w:p>
    <w:p w14:paraId="033E806A" w14:textId="62D5BE23" w:rsidR="000257D4" w:rsidRDefault="000257D4" w:rsidP="003130EB">
      <w:pPr>
        <w:jc w:val="center"/>
        <w:rPr>
          <w:rFonts w:cstheme="minorHAnsi"/>
          <w:b/>
          <w:bCs/>
          <w:sz w:val="40"/>
          <w:szCs w:val="40"/>
        </w:rPr>
      </w:pPr>
      <w:r>
        <w:rPr>
          <w:rFonts w:cstheme="minorHAnsi"/>
          <w:b/>
          <w:bCs/>
          <w:sz w:val="40"/>
          <w:szCs w:val="40"/>
        </w:rPr>
        <w:t>January 2024</w:t>
      </w:r>
    </w:p>
    <w:p w14:paraId="0304C9AF" w14:textId="77777777" w:rsidR="003130EB" w:rsidRPr="003130EB" w:rsidRDefault="003130EB" w:rsidP="003130EB">
      <w:pPr>
        <w:jc w:val="center"/>
        <w:rPr>
          <w:rFonts w:cstheme="minorHAnsi"/>
          <w:b/>
          <w:bCs/>
          <w:sz w:val="40"/>
          <w:szCs w:val="40"/>
        </w:rPr>
      </w:pPr>
    </w:p>
    <w:p w14:paraId="3F4DF3FD" w14:textId="77777777" w:rsidR="003130EB" w:rsidRPr="00294AAB" w:rsidRDefault="003130EB" w:rsidP="003130EB">
      <w:pPr>
        <w:ind w:left="1560"/>
        <w:rPr>
          <w:rFonts w:ascii="Arial" w:hAnsi="Arial" w:cs="Arial"/>
          <w:b/>
          <w:bCs/>
          <w:sz w:val="24"/>
          <w:szCs w:val="24"/>
        </w:rPr>
      </w:pPr>
      <w:r>
        <w:rPr>
          <w:rFonts w:ascii="Arial" w:eastAsia="Calibri" w:hAnsi="Arial" w:cs="Arial"/>
          <w:b/>
          <w:bCs/>
          <w:sz w:val="24"/>
          <w:szCs w:val="24"/>
        </w:rPr>
        <w:t xml:space="preserve">1 - </w:t>
      </w:r>
      <w:r w:rsidRPr="00294AAB">
        <w:rPr>
          <w:rFonts w:ascii="Arial" w:eastAsia="Calibri" w:hAnsi="Arial" w:cs="Arial"/>
          <w:b/>
          <w:bCs/>
          <w:sz w:val="24"/>
          <w:szCs w:val="24"/>
        </w:rPr>
        <w:t>INTRODUCTION</w:t>
      </w:r>
    </w:p>
    <w:p w14:paraId="2C96038F" w14:textId="77777777"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1.1</w:t>
      </w:r>
      <w:r w:rsidRPr="0035042F">
        <w:rPr>
          <w:rFonts w:ascii="Arial" w:hAnsi="Arial" w:cs="Arial"/>
          <w:sz w:val="24"/>
          <w:szCs w:val="24"/>
        </w:rPr>
        <w:tab/>
      </w:r>
      <w:r w:rsidRPr="0035042F">
        <w:rPr>
          <w:rFonts w:ascii="Arial" w:eastAsia="Calibri" w:hAnsi="Arial" w:cs="Arial"/>
          <w:sz w:val="24"/>
          <w:szCs w:val="24"/>
        </w:rPr>
        <w:t xml:space="preserve">This policy is created under guidance issued by the Secretary of State for Communities and Local Government in accordance with the Local Government Act 2003. The extant guidance was issued by </w:t>
      </w:r>
      <w:r>
        <w:rPr>
          <w:rFonts w:ascii="Arial" w:eastAsia="Calibri" w:hAnsi="Arial" w:cs="Arial"/>
          <w:sz w:val="24"/>
          <w:szCs w:val="24"/>
        </w:rPr>
        <w:t>the Department for Communities &amp; Local Government (</w:t>
      </w:r>
      <w:r w:rsidRPr="0035042F">
        <w:rPr>
          <w:rFonts w:ascii="Arial" w:eastAsia="Calibri" w:hAnsi="Arial" w:cs="Arial"/>
          <w:sz w:val="24"/>
          <w:szCs w:val="24"/>
        </w:rPr>
        <w:t>DCLG</w:t>
      </w:r>
      <w:r>
        <w:rPr>
          <w:rFonts w:ascii="Arial" w:eastAsia="Calibri" w:hAnsi="Arial" w:cs="Arial"/>
          <w:sz w:val="24"/>
          <w:szCs w:val="24"/>
        </w:rPr>
        <w:t>)</w:t>
      </w:r>
      <w:r w:rsidRPr="0035042F">
        <w:rPr>
          <w:rFonts w:ascii="Arial" w:eastAsia="Calibri" w:hAnsi="Arial" w:cs="Arial"/>
          <w:sz w:val="24"/>
          <w:szCs w:val="24"/>
        </w:rPr>
        <w:t xml:space="preserve"> in 2010.</w:t>
      </w:r>
    </w:p>
    <w:p w14:paraId="121345D7" w14:textId="77777777" w:rsidR="003130EB" w:rsidRPr="0035042F" w:rsidRDefault="003130EB" w:rsidP="003130EB">
      <w:pPr>
        <w:tabs>
          <w:tab w:val="left" w:pos="2260"/>
        </w:tabs>
        <w:spacing w:line="286" w:lineRule="auto"/>
        <w:ind w:left="2280" w:right="266" w:hanging="613"/>
        <w:rPr>
          <w:rFonts w:ascii="Arial" w:hAnsi="Arial" w:cs="Arial"/>
          <w:sz w:val="24"/>
          <w:szCs w:val="24"/>
        </w:rPr>
      </w:pPr>
      <w:r w:rsidRPr="0035042F">
        <w:rPr>
          <w:rFonts w:ascii="Arial" w:eastAsia="Calibri" w:hAnsi="Arial" w:cs="Arial"/>
          <w:sz w:val="24"/>
          <w:szCs w:val="24"/>
        </w:rPr>
        <w:t>1.2</w:t>
      </w:r>
      <w:r w:rsidRPr="0035042F">
        <w:rPr>
          <w:rFonts w:ascii="Arial" w:hAnsi="Arial" w:cs="Arial"/>
          <w:sz w:val="24"/>
          <w:szCs w:val="24"/>
        </w:rPr>
        <w:tab/>
      </w:r>
      <w:r w:rsidRPr="0035042F">
        <w:rPr>
          <w:rFonts w:ascii="Arial" w:eastAsia="Calibri" w:hAnsi="Arial" w:cs="Arial"/>
          <w:sz w:val="24"/>
          <w:szCs w:val="24"/>
        </w:rPr>
        <w:t>W</w:t>
      </w:r>
      <w:r>
        <w:rPr>
          <w:rFonts w:ascii="Arial" w:eastAsia="Calibri" w:hAnsi="Arial" w:cs="Arial"/>
          <w:sz w:val="24"/>
          <w:szCs w:val="24"/>
        </w:rPr>
        <w:t>arwick</w:t>
      </w:r>
      <w:r w:rsidRPr="0035042F">
        <w:rPr>
          <w:rFonts w:ascii="Arial" w:eastAsia="Calibri" w:hAnsi="Arial" w:cs="Arial"/>
          <w:sz w:val="24"/>
          <w:szCs w:val="24"/>
        </w:rPr>
        <w:t xml:space="preserve"> Town Council acknowledges its responsibility to the community and the importance of prudently investing any reserves held by the council.</w:t>
      </w:r>
    </w:p>
    <w:p w14:paraId="086B0820" w14:textId="77777777" w:rsidR="003130EB" w:rsidRPr="00294AAB" w:rsidRDefault="003130EB" w:rsidP="003130EB">
      <w:pPr>
        <w:ind w:left="1560"/>
        <w:rPr>
          <w:rFonts w:ascii="Arial" w:hAnsi="Arial" w:cs="Arial"/>
          <w:b/>
          <w:bCs/>
          <w:sz w:val="24"/>
          <w:szCs w:val="24"/>
        </w:rPr>
      </w:pPr>
      <w:r w:rsidRPr="00294AAB">
        <w:rPr>
          <w:rFonts w:ascii="Arial" w:eastAsia="Calibri" w:hAnsi="Arial" w:cs="Arial"/>
          <w:b/>
          <w:bCs/>
          <w:sz w:val="24"/>
          <w:szCs w:val="24"/>
        </w:rPr>
        <w:t>2 - OBJECTIVES</w:t>
      </w:r>
    </w:p>
    <w:p w14:paraId="0D235DE3" w14:textId="0EFBD1A8" w:rsidR="003130EB" w:rsidRDefault="003130EB" w:rsidP="003130EB">
      <w:pPr>
        <w:tabs>
          <w:tab w:val="left" w:pos="2260"/>
        </w:tabs>
        <w:spacing w:line="283" w:lineRule="auto"/>
        <w:ind w:left="2280" w:right="266" w:hanging="613"/>
        <w:rPr>
          <w:rFonts w:ascii="Arial" w:eastAsia="Calibri" w:hAnsi="Arial" w:cs="Arial"/>
          <w:sz w:val="24"/>
          <w:szCs w:val="24"/>
        </w:rPr>
      </w:pPr>
      <w:r w:rsidRPr="0035042F">
        <w:rPr>
          <w:rFonts w:ascii="Arial" w:eastAsia="Calibri" w:hAnsi="Arial" w:cs="Arial"/>
          <w:sz w:val="24"/>
          <w:szCs w:val="24"/>
        </w:rPr>
        <w:t>2.1</w:t>
      </w:r>
      <w:r w:rsidRPr="0035042F">
        <w:rPr>
          <w:rFonts w:ascii="Arial" w:hAnsi="Arial" w:cs="Arial"/>
          <w:sz w:val="24"/>
          <w:szCs w:val="24"/>
        </w:rPr>
        <w:tab/>
      </w:r>
      <w:r w:rsidRPr="0035042F">
        <w:rPr>
          <w:rFonts w:ascii="Arial" w:eastAsia="Calibri" w:hAnsi="Arial" w:cs="Arial"/>
          <w:sz w:val="24"/>
          <w:szCs w:val="24"/>
        </w:rPr>
        <w:t>The general policy objective of the Council is prudent investment of its balances. The Council’s investment priorities are</w:t>
      </w:r>
      <w:r>
        <w:rPr>
          <w:rFonts w:ascii="Arial" w:eastAsia="Calibri" w:hAnsi="Arial" w:cs="Arial"/>
          <w:sz w:val="24"/>
          <w:szCs w:val="24"/>
        </w:rPr>
        <w:t xml:space="preserve"> Security of Reserves and then Liquidity of investments</w:t>
      </w:r>
      <w:r w:rsidR="00676489">
        <w:rPr>
          <w:rFonts w:ascii="Arial" w:eastAsia="Calibri" w:hAnsi="Arial" w:cs="Arial"/>
          <w:sz w:val="24"/>
          <w:szCs w:val="24"/>
        </w:rPr>
        <w:t>.</w:t>
      </w:r>
    </w:p>
    <w:p w14:paraId="20D59207" w14:textId="77777777" w:rsidR="003130EB" w:rsidRPr="0035042F" w:rsidRDefault="003130EB" w:rsidP="003130EB">
      <w:pPr>
        <w:tabs>
          <w:tab w:val="left" w:pos="2260"/>
        </w:tabs>
        <w:spacing w:line="286" w:lineRule="auto"/>
        <w:ind w:left="2280" w:right="266" w:hanging="613"/>
        <w:rPr>
          <w:rFonts w:ascii="Arial" w:hAnsi="Arial" w:cs="Arial"/>
          <w:sz w:val="24"/>
          <w:szCs w:val="24"/>
        </w:rPr>
      </w:pPr>
      <w:r w:rsidRPr="0035042F">
        <w:rPr>
          <w:rFonts w:ascii="Arial" w:eastAsia="Calibri" w:hAnsi="Arial" w:cs="Arial"/>
          <w:sz w:val="24"/>
          <w:szCs w:val="24"/>
        </w:rPr>
        <w:t>2.2</w:t>
      </w:r>
      <w:r w:rsidRPr="0035042F">
        <w:rPr>
          <w:rFonts w:ascii="Arial" w:hAnsi="Arial" w:cs="Arial"/>
          <w:sz w:val="24"/>
          <w:szCs w:val="24"/>
        </w:rPr>
        <w:tab/>
      </w:r>
      <w:r w:rsidRPr="0035042F">
        <w:rPr>
          <w:rFonts w:ascii="Arial" w:eastAsia="Calibri" w:hAnsi="Arial" w:cs="Arial"/>
          <w:sz w:val="24"/>
          <w:szCs w:val="24"/>
        </w:rPr>
        <w:t>The Council will aim to achieve the optimum return on its investments commensurate with proper levels of security and liquidity.</w:t>
      </w:r>
    </w:p>
    <w:p w14:paraId="3C4FD1BD" w14:textId="77777777" w:rsidR="003130EB" w:rsidRPr="00294AAB" w:rsidRDefault="003130EB" w:rsidP="003130EB">
      <w:pPr>
        <w:ind w:left="1560"/>
        <w:rPr>
          <w:rFonts w:ascii="Arial" w:hAnsi="Arial" w:cs="Arial"/>
          <w:b/>
          <w:bCs/>
          <w:sz w:val="24"/>
          <w:szCs w:val="24"/>
        </w:rPr>
      </w:pPr>
      <w:r w:rsidRPr="00294AAB">
        <w:rPr>
          <w:rFonts w:ascii="Arial" w:eastAsia="Calibri" w:hAnsi="Arial" w:cs="Arial"/>
          <w:b/>
          <w:bCs/>
          <w:sz w:val="24"/>
          <w:szCs w:val="24"/>
        </w:rPr>
        <w:t>3 - INVESTMENT POLICY</w:t>
      </w:r>
    </w:p>
    <w:p w14:paraId="20679512" w14:textId="77777777" w:rsidR="003656D9"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3.1</w:t>
      </w:r>
      <w:r w:rsidRPr="0035042F">
        <w:rPr>
          <w:rFonts w:ascii="Arial" w:hAnsi="Arial" w:cs="Arial"/>
          <w:sz w:val="24"/>
          <w:szCs w:val="24"/>
        </w:rPr>
        <w:tab/>
      </w:r>
      <w:r w:rsidR="003656D9" w:rsidRPr="00EF6D48">
        <w:rPr>
          <w:rFonts w:ascii="Arial" w:hAnsi="Arial" w:cs="Arial"/>
          <w:sz w:val="24"/>
          <w:szCs w:val="24"/>
        </w:rPr>
        <w:t>The Town Council’s risk profile is low.</w:t>
      </w:r>
    </w:p>
    <w:p w14:paraId="5D2E062B" w14:textId="688C528E" w:rsidR="003130EB" w:rsidRPr="008A6CD4" w:rsidRDefault="003656D9" w:rsidP="003130EB">
      <w:pPr>
        <w:tabs>
          <w:tab w:val="left" w:pos="2260"/>
        </w:tabs>
        <w:spacing w:line="276" w:lineRule="auto"/>
        <w:ind w:left="2280" w:right="266" w:hanging="613"/>
        <w:rPr>
          <w:rFonts w:ascii="Arial" w:hAnsi="Arial" w:cs="Arial"/>
          <w:color w:val="FF0000"/>
          <w:sz w:val="24"/>
          <w:szCs w:val="24"/>
        </w:rPr>
      </w:pPr>
      <w:r>
        <w:rPr>
          <w:rFonts w:ascii="Arial" w:hAnsi="Arial" w:cs="Arial"/>
          <w:sz w:val="24"/>
          <w:szCs w:val="24"/>
        </w:rPr>
        <w:t xml:space="preserve">3.2    </w:t>
      </w:r>
      <w:r w:rsidR="003130EB" w:rsidRPr="003656D9">
        <w:rPr>
          <w:rFonts w:ascii="Arial" w:eastAsia="Calibri" w:hAnsi="Arial" w:cs="Arial"/>
          <w:sz w:val="24"/>
          <w:szCs w:val="24"/>
        </w:rPr>
        <w:t xml:space="preserve">The Town Council shall </w:t>
      </w:r>
      <w:r w:rsidR="00676489">
        <w:rPr>
          <w:rFonts w:ascii="Arial" w:eastAsia="Calibri" w:hAnsi="Arial" w:cs="Arial"/>
          <w:sz w:val="24"/>
          <w:szCs w:val="24"/>
        </w:rPr>
        <w:t>hold monies in low-risk investments</w:t>
      </w:r>
      <w:r w:rsidR="003130EB" w:rsidRPr="003656D9">
        <w:rPr>
          <w:rFonts w:ascii="Arial" w:eastAsia="Calibri" w:hAnsi="Arial" w:cs="Arial"/>
          <w:sz w:val="24"/>
          <w:szCs w:val="24"/>
        </w:rPr>
        <w:t xml:space="preserve"> </w:t>
      </w:r>
      <w:r w:rsidR="00676489">
        <w:rPr>
          <w:rFonts w:ascii="Arial" w:eastAsia="Calibri" w:hAnsi="Arial" w:cs="Arial"/>
          <w:sz w:val="24"/>
          <w:szCs w:val="24"/>
        </w:rPr>
        <w:t xml:space="preserve">including but not limited to UK banks and building societies </w:t>
      </w:r>
      <w:r w:rsidR="00676489" w:rsidRPr="009B3DAA">
        <w:rPr>
          <w:rFonts w:ascii="Arial" w:eastAsia="Calibri" w:hAnsi="Arial" w:cs="Arial"/>
          <w:sz w:val="24"/>
          <w:szCs w:val="24"/>
          <w:highlight w:val="yellow"/>
        </w:rPr>
        <w:t xml:space="preserve">and </w:t>
      </w:r>
      <w:r w:rsidR="003130EB" w:rsidRPr="009B3DAA">
        <w:rPr>
          <w:rFonts w:ascii="Arial" w:eastAsia="Calibri" w:hAnsi="Arial" w:cs="Arial"/>
          <w:sz w:val="24"/>
          <w:szCs w:val="24"/>
          <w:highlight w:val="yellow"/>
        </w:rPr>
        <w:t xml:space="preserve">specified </w:t>
      </w:r>
      <w:r w:rsidR="009B3DAA" w:rsidRPr="009B3DAA">
        <w:rPr>
          <w:rFonts w:ascii="Arial" w:eastAsia="Calibri" w:hAnsi="Arial" w:cs="Arial"/>
          <w:sz w:val="24"/>
          <w:szCs w:val="24"/>
          <w:highlight w:val="yellow"/>
        </w:rPr>
        <w:t xml:space="preserve">low-risk </w:t>
      </w:r>
      <w:r w:rsidR="003130EB" w:rsidRPr="009B3DAA">
        <w:rPr>
          <w:rFonts w:ascii="Arial" w:eastAsia="Calibri" w:hAnsi="Arial" w:cs="Arial"/>
          <w:sz w:val="24"/>
          <w:szCs w:val="24"/>
          <w:highlight w:val="yellow"/>
        </w:rPr>
        <w:t>investments as defined by DCLG guidance</w:t>
      </w:r>
      <w:r w:rsidR="009B3DAA" w:rsidRPr="009B3DAA">
        <w:rPr>
          <w:rFonts w:ascii="Arial" w:eastAsia="Calibri" w:hAnsi="Arial" w:cs="Arial"/>
          <w:sz w:val="24"/>
          <w:szCs w:val="24"/>
          <w:highlight w:val="yellow"/>
        </w:rPr>
        <w:t>,</w:t>
      </w:r>
      <w:r w:rsidR="003130EB" w:rsidRPr="009B3DAA">
        <w:rPr>
          <w:rFonts w:ascii="Arial" w:eastAsia="Calibri" w:hAnsi="Arial" w:cs="Arial"/>
          <w:sz w:val="24"/>
          <w:szCs w:val="24"/>
          <w:highlight w:val="yellow"/>
        </w:rPr>
        <w:t xml:space="preserve"> which is updated from time to time</w:t>
      </w:r>
      <w:r w:rsidR="003130EB" w:rsidRPr="009B3DAA">
        <w:rPr>
          <w:rFonts w:ascii="Arial" w:eastAsia="Calibri" w:hAnsi="Arial" w:cs="Arial"/>
          <w:color w:val="FF0000"/>
          <w:sz w:val="24"/>
          <w:szCs w:val="24"/>
          <w:highlight w:val="yellow"/>
        </w:rPr>
        <w:t>.</w:t>
      </w:r>
    </w:p>
    <w:p w14:paraId="49AF768A" w14:textId="150EE874"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3.</w:t>
      </w:r>
      <w:r w:rsidR="003656D9">
        <w:rPr>
          <w:rFonts w:ascii="Arial" w:eastAsia="Calibri" w:hAnsi="Arial" w:cs="Arial"/>
          <w:sz w:val="24"/>
          <w:szCs w:val="24"/>
        </w:rPr>
        <w:t>3</w:t>
      </w:r>
      <w:r w:rsidRPr="0035042F">
        <w:rPr>
          <w:rFonts w:ascii="Arial" w:hAnsi="Arial" w:cs="Arial"/>
          <w:sz w:val="24"/>
          <w:szCs w:val="24"/>
        </w:rPr>
        <w:tab/>
      </w:r>
      <w:r w:rsidR="009B3DAA">
        <w:rPr>
          <w:rFonts w:ascii="Arial" w:eastAsia="Calibri" w:hAnsi="Arial" w:cs="Arial"/>
          <w:sz w:val="24"/>
          <w:szCs w:val="24"/>
        </w:rPr>
        <w:t>T</w:t>
      </w:r>
      <w:r w:rsidRPr="0035042F">
        <w:rPr>
          <w:rFonts w:ascii="Arial" w:eastAsia="Calibri" w:hAnsi="Arial" w:cs="Arial"/>
          <w:sz w:val="24"/>
          <w:szCs w:val="24"/>
        </w:rPr>
        <w:t xml:space="preserve">he Council’s </w:t>
      </w:r>
      <w:r w:rsidR="00676489">
        <w:rPr>
          <w:rFonts w:ascii="Arial" w:eastAsia="Calibri" w:hAnsi="Arial" w:cs="Arial"/>
          <w:sz w:val="24"/>
          <w:szCs w:val="24"/>
        </w:rPr>
        <w:t xml:space="preserve">general </w:t>
      </w:r>
      <w:r w:rsidRPr="0035042F">
        <w:rPr>
          <w:rFonts w:ascii="Arial" w:eastAsia="Calibri" w:hAnsi="Arial" w:cs="Arial"/>
          <w:sz w:val="24"/>
          <w:szCs w:val="24"/>
        </w:rPr>
        <w:t xml:space="preserve">reserves </w:t>
      </w:r>
      <w:r w:rsidRPr="009B3DAA">
        <w:rPr>
          <w:rFonts w:ascii="Arial" w:eastAsia="Calibri" w:hAnsi="Arial" w:cs="Arial"/>
          <w:sz w:val="24"/>
          <w:szCs w:val="24"/>
          <w:highlight w:val="yellow"/>
        </w:rPr>
        <w:t xml:space="preserve">shall be </w:t>
      </w:r>
      <w:r w:rsidR="009B3DAA" w:rsidRPr="009B3DAA">
        <w:rPr>
          <w:rFonts w:ascii="Arial" w:eastAsia="Calibri" w:hAnsi="Arial" w:cs="Arial"/>
          <w:sz w:val="24"/>
          <w:szCs w:val="24"/>
          <w:highlight w:val="yellow"/>
        </w:rPr>
        <w:t>held in low risk funds as above, but within these guidelines the Council shall try to earn a good return on investment using</w:t>
      </w:r>
      <w:r w:rsidR="000257D4" w:rsidRPr="009B3DAA">
        <w:rPr>
          <w:rFonts w:ascii="Arial" w:eastAsia="Calibri" w:hAnsi="Arial" w:cs="Arial"/>
          <w:sz w:val="24"/>
          <w:szCs w:val="24"/>
          <w:highlight w:val="yellow"/>
        </w:rPr>
        <w:t xml:space="preserve"> low</w:t>
      </w:r>
      <w:r w:rsidR="00676489" w:rsidRPr="009B3DAA">
        <w:rPr>
          <w:rFonts w:ascii="Arial" w:eastAsia="Calibri" w:hAnsi="Arial" w:cs="Arial"/>
          <w:sz w:val="24"/>
          <w:szCs w:val="24"/>
          <w:highlight w:val="yellow"/>
        </w:rPr>
        <w:t xml:space="preserve">-risk asset management funds </w:t>
      </w:r>
      <w:r w:rsidR="009B3DAA" w:rsidRPr="009B3DAA">
        <w:rPr>
          <w:rFonts w:ascii="Arial" w:eastAsia="Calibri" w:hAnsi="Arial" w:cs="Arial"/>
          <w:sz w:val="24"/>
          <w:szCs w:val="24"/>
          <w:highlight w:val="yellow"/>
        </w:rPr>
        <w:t>such as</w:t>
      </w:r>
      <w:r w:rsidR="00676489" w:rsidRPr="009B3DAA">
        <w:rPr>
          <w:rFonts w:ascii="Arial" w:eastAsia="Calibri" w:hAnsi="Arial" w:cs="Arial"/>
          <w:sz w:val="24"/>
          <w:szCs w:val="24"/>
          <w:highlight w:val="yellow"/>
        </w:rPr>
        <w:t xml:space="preserve"> CCLA public sector deposit fund.</w:t>
      </w:r>
    </w:p>
    <w:p w14:paraId="06C3DFC9" w14:textId="5257CC2C" w:rsidR="001A601E" w:rsidRPr="00AA590F" w:rsidRDefault="003130EB" w:rsidP="003130EB">
      <w:pPr>
        <w:tabs>
          <w:tab w:val="left" w:pos="2260"/>
        </w:tabs>
        <w:ind w:left="1660"/>
        <w:rPr>
          <w:rFonts w:ascii="Arial" w:eastAsia="Calibri" w:hAnsi="Arial" w:cs="Arial"/>
          <w:sz w:val="24"/>
          <w:szCs w:val="24"/>
        </w:rPr>
      </w:pPr>
      <w:r w:rsidRPr="00AA590F">
        <w:rPr>
          <w:rFonts w:ascii="Arial" w:eastAsia="Calibri" w:hAnsi="Arial" w:cs="Arial"/>
          <w:sz w:val="24"/>
          <w:szCs w:val="24"/>
        </w:rPr>
        <w:t>3.</w:t>
      </w:r>
      <w:r w:rsidR="000257D4">
        <w:rPr>
          <w:rFonts w:ascii="Arial" w:eastAsia="Calibri" w:hAnsi="Arial" w:cs="Arial"/>
          <w:sz w:val="24"/>
          <w:szCs w:val="24"/>
        </w:rPr>
        <w:t>4</w:t>
      </w:r>
      <w:r w:rsidRPr="00AA590F">
        <w:rPr>
          <w:rFonts w:ascii="Arial" w:hAnsi="Arial" w:cs="Arial"/>
          <w:sz w:val="24"/>
          <w:szCs w:val="24"/>
        </w:rPr>
        <w:tab/>
      </w:r>
      <w:r w:rsidRPr="00AA590F">
        <w:rPr>
          <w:rFonts w:ascii="Arial" w:eastAsia="Calibri" w:hAnsi="Arial" w:cs="Arial"/>
          <w:sz w:val="24"/>
          <w:szCs w:val="24"/>
        </w:rPr>
        <w:t xml:space="preserve">No one investment shall be </w:t>
      </w:r>
      <w:r w:rsidR="001A601E" w:rsidRPr="00AA590F">
        <w:rPr>
          <w:rFonts w:ascii="Arial" w:eastAsia="Calibri" w:hAnsi="Arial" w:cs="Arial"/>
          <w:sz w:val="24"/>
          <w:szCs w:val="24"/>
        </w:rPr>
        <w:t xml:space="preserve">held </w:t>
      </w:r>
      <w:r w:rsidRPr="00AA590F">
        <w:rPr>
          <w:rFonts w:ascii="Arial" w:eastAsia="Calibri" w:hAnsi="Arial" w:cs="Arial"/>
          <w:sz w:val="24"/>
          <w:szCs w:val="24"/>
        </w:rPr>
        <w:t xml:space="preserve">for a </w:t>
      </w:r>
      <w:r w:rsidR="001A601E" w:rsidRPr="00AA590F">
        <w:rPr>
          <w:rFonts w:ascii="Arial" w:eastAsia="Calibri" w:hAnsi="Arial" w:cs="Arial"/>
          <w:sz w:val="24"/>
          <w:szCs w:val="24"/>
        </w:rPr>
        <w:t xml:space="preserve">period no </w:t>
      </w:r>
      <w:r w:rsidRPr="00AA590F">
        <w:rPr>
          <w:rFonts w:ascii="Arial" w:eastAsia="Calibri" w:hAnsi="Arial" w:cs="Arial"/>
          <w:sz w:val="24"/>
          <w:szCs w:val="24"/>
        </w:rPr>
        <w:t>longer than 1</w:t>
      </w:r>
      <w:r w:rsidR="001A601E" w:rsidRPr="00AA590F">
        <w:rPr>
          <w:rFonts w:ascii="Arial" w:eastAsia="Calibri" w:hAnsi="Arial" w:cs="Arial"/>
          <w:sz w:val="24"/>
          <w:szCs w:val="24"/>
        </w:rPr>
        <w:t>5</w:t>
      </w:r>
      <w:r w:rsidRPr="00AA590F">
        <w:rPr>
          <w:rFonts w:ascii="Arial" w:eastAsia="Calibri" w:hAnsi="Arial" w:cs="Arial"/>
          <w:sz w:val="24"/>
          <w:szCs w:val="24"/>
        </w:rPr>
        <w:t xml:space="preserve"> </w:t>
      </w:r>
      <w:r w:rsidR="000257D4" w:rsidRPr="00AA590F">
        <w:rPr>
          <w:rFonts w:ascii="Arial" w:eastAsia="Calibri" w:hAnsi="Arial" w:cs="Arial"/>
          <w:sz w:val="24"/>
          <w:szCs w:val="24"/>
        </w:rPr>
        <w:t>months</w:t>
      </w:r>
    </w:p>
    <w:p w14:paraId="62A18AB8" w14:textId="765D7452" w:rsidR="001A601E" w:rsidRPr="00AA590F" w:rsidRDefault="001A601E" w:rsidP="003130EB">
      <w:pPr>
        <w:tabs>
          <w:tab w:val="left" w:pos="2260"/>
        </w:tabs>
        <w:ind w:left="1660"/>
        <w:rPr>
          <w:rFonts w:ascii="Arial" w:eastAsia="Calibri" w:hAnsi="Arial" w:cs="Arial"/>
          <w:sz w:val="24"/>
          <w:szCs w:val="24"/>
        </w:rPr>
      </w:pPr>
      <w:r w:rsidRPr="00AA590F">
        <w:rPr>
          <w:rFonts w:ascii="Arial" w:eastAsia="Calibri" w:hAnsi="Arial" w:cs="Arial"/>
          <w:sz w:val="24"/>
          <w:szCs w:val="24"/>
        </w:rPr>
        <w:t xml:space="preserve">         without being reviewed at the Finance and Policy committee held prior to</w:t>
      </w:r>
    </w:p>
    <w:p w14:paraId="5D96E6C9" w14:textId="2CE0AABF" w:rsidR="003130EB" w:rsidRPr="00AA590F" w:rsidRDefault="001A601E" w:rsidP="003130EB">
      <w:pPr>
        <w:tabs>
          <w:tab w:val="left" w:pos="2260"/>
        </w:tabs>
        <w:ind w:left="1660"/>
        <w:rPr>
          <w:rFonts w:ascii="Arial" w:eastAsia="Calibri" w:hAnsi="Arial" w:cs="Arial"/>
          <w:sz w:val="24"/>
          <w:szCs w:val="24"/>
        </w:rPr>
      </w:pPr>
      <w:r w:rsidRPr="00AA590F">
        <w:rPr>
          <w:rFonts w:ascii="Arial" w:eastAsia="Calibri" w:hAnsi="Arial" w:cs="Arial"/>
          <w:sz w:val="24"/>
          <w:szCs w:val="24"/>
        </w:rPr>
        <w:t xml:space="preserve">         each Special meeting</w:t>
      </w:r>
      <w:r w:rsidR="003130EB" w:rsidRPr="00AA590F">
        <w:rPr>
          <w:rFonts w:ascii="Arial" w:eastAsia="Calibri" w:hAnsi="Arial" w:cs="Arial"/>
          <w:sz w:val="24"/>
          <w:szCs w:val="24"/>
        </w:rPr>
        <w:t>.</w:t>
      </w:r>
    </w:p>
    <w:p w14:paraId="59B9E262" w14:textId="77777777" w:rsidR="003130EB" w:rsidRPr="0035042F" w:rsidRDefault="003130EB" w:rsidP="003130EB">
      <w:pPr>
        <w:spacing w:line="37" w:lineRule="exact"/>
        <w:rPr>
          <w:rFonts w:ascii="Arial" w:hAnsi="Arial" w:cs="Arial"/>
          <w:sz w:val="24"/>
          <w:szCs w:val="24"/>
        </w:rPr>
      </w:pPr>
    </w:p>
    <w:p w14:paraId="4C66B109" w14:textId="578C929B"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 xml:space="preserve"> </w:t>
      </w:r>
    </w:p>
    <w:p w14:paraId="2EE72302" w14:textId="15397B21" w:rsidR="000257D4" w:rsidRDefault="003130EB" w:rsidP="000257D4">
      <w:pPr>
        <w:tabs>
          <w:tab w:val="left" w:pos="2260"/>
        </w:tabs>
        <w:spacing w:line="276" w:lineRule="auto"/>
        <w:ind w:left="2280" w:right="266" w:hanging="613"/>
        <w:rPr>
          <w:rFonts w:ascii="Arial" w:eastAsia="Calibri" w:hAnsi="Arial" w:cs="Arial"/>
          <w:sz w:val="24"/>
          <w:szCs w:val="24"/>
        </w:rPr>
      </w:pPr>
      <w:r w:rsidRPr="0035042F">
        <w:rPr>
          <w:rFonts w:ascii="Arial" w:eastAsia="Calibri" w:hAnsi="Arial" w:cs="Arial"/>
          <w:sz w:val="24"/>
          <w:szCs w:val="24"/>
        </w:rPr>
        <w:t>3.</w:t>
      </w:r>
      <w:r w:rsidR="000257D4">
        <w:rPr>
          <w:rFonts w:ascii="Arial" w:eastAsia="Calibri" w:hAnsi="Arial" w:cs="Arial"/>
          <w:sz w:val="24"/>
          <w:szCs w:val="24"/>
        </w:rPr>
        <w:t>5</w:t>
      </w:r>
      <w:r w:rsidRPr="0035042F">
        <w:rPr>
          <w:rFonts w:ascii="Arial" w:hAnsi="Arial" w:cs="Arial"/>
          <w:sz w:val="24"/>
          <w:szCs w:val="24"/>
        </w:rPr>
        <w:tab/>
      </w:r>
      <w:r w:rsidRPr="0035042F">
        <w:rPr>
          <w:rFonts w:ascii="Arial" w:eastAsia="Calibri" w:hAnsi="Arial" w:cs="Arial"/>
          <w:sz w:val="24"/>
          <w:szCs w:val="24"/>
        </w:rPr>
        <w:t xml:space="preserve">Investments shall be decided and placed by the Responsible Financial Officer having used due diligence </w:t>
      </w:r>
      <w:r w:rsidR="000257D4">
        <w:rPr>
          <w:rFonts w:ascii="Arial" w:eastAsia="Calibri" w:hAnsi="Arial" w:cs="Arial"/>
          <w:sz w:val="24"/>
          <w:szCs w:val="24"/>
        </w:rPr>
        <w:t>and in consultation with the Chair of Finance and Policy.</w:t>
      </w:r>
    </w:p>
    <w:p w14:paraId="6E0A49FF" w14:textId="07600B59" w:rsidR="000257D4" w:rsidRDefault="000257D4" w:rsidP="000257D4">
      <w:pPr>
        <w:tabs>
          <w:tab w:val="left" w:pos="2260"/>
        </w:tabs>
        <w:spacing w:line="276" w:lineRule="auto"/>
        <w:ind w:left="2280" w:right="266" w:hanging="613"/>
        <w:rPr>
          <w:rFonts w:ascii="Arial" w:eastAsia="Calibri" w:hAnsi="Arial" w:cs="Arial"/>
          <w:sz w:val="24"/>
          <w:szCs w:val="24"/>
        </w:rPr>
      </w:pPr>
      <w:r>
        <w:rPr>
          <w:rFonts w:ascii="Arial" w:eastAsia="Calibri" w:hAnsi="Arial" w:cs="Arial"/>
          <w:sz w:val="24"/>
          <w:szCs w:val="24"/>
        </w:rPr>
        <w:t xml:space="preserve">  </w:t>
      </w:r>
    </w:p>
    <w:p w14:paraId="3D62BE97" w14:textId="103684D2" w:rsidR="000257D4" w:rsidRPr="000257D4" w:rsidRDefault="003130EB" w:rsidP="000257D4">
      <w:pPr>
        <w:pStyle w:val="ListParagraph"/>
        <w:numPr>
          <w:ilvl w:val="0"/>
          <w:numId w:val="2"/>
        </w:numPr>
        <w:tabs>
          <w:tab w:val="left" w:pos="2260"/>
        </w:tabs>
        <w:spacing w:line="276" w:lineRule="auto"/>
        <w:ind w:right="266"/>
        <w:rPr>
          <w:rFonts w:ascii="Arial" w:eastAsia="Calibri" w:hAnsi="Arial" w:cs="Arial"/>
          <w:sz w:val="24"/>
          <w:szCs w:val="24"/>
        </w:rPr>
      </w:pPr>
      <w:r w:rsidRPr="000257D4">
        <w:rPr>
          <w:rFonts w:ascii="Arial" w:eastAsia="Calibri" w:hAnsi="Arial" w:cs="Arial"/>
          <w:sz w:val="24"/>
          <w:szCs w:val="24"/>
        </w:rPr>
        <w:t xml:space="preserve">This shall be under the oversight of </w:t>
      </w:r>
      <w:r w:rsidR="001A601E" w:rsidRPr="000257D4">
        <w:rPr>
          <w:rFonts w:ascii="Arial" w:eastAsia="Calibri" w:hAnsi="Arial" w:cs="Arial"/>
          <w:sz w:val="24"/>
          <w:szCs w:val="24"/>
        </w:rPr>
        <w:t xml:space="preserve">the Finance and Policy </w:t>
      </w:r>
    </w:p>
    <w:p w14:paraId="67C5FC15" w14:textId="49697D5A" w:rsidR="003130EB" w:rsidRPr="000257D4" w:rsidRDefault="000257D4" w:rsidP="000257D4">
      <w:pPr>
        <w:pStyle w:val="ListParagraph"/>
        <w:tabs>
          <w:tab w:val="left" w:pos="2260"/>
        </w:tabs>
        <w:spacing w:line="276" w:lineRule="auto"/>
        <w:ind w:left="3032" w:right="266"/>
        <w:rPr>
          <w:rFonts w:ascii="Arial" w:eastAsia="Calibri" w:hAnsi="Arial" w:cs="Arial"/>
          <w:sz w:val="24"/>
          <w:szCs w:val="24"/>
        </w:rPr>
      </w:pPr>
      <w:r>
        <w:rPr>
          <w:rFonts w:ascii="Arial" w:eastAsia="Calibri" w:hAnsi="Arial" w:cs="Arial"/>
          <w:sz w:val="24"/>
          <w:szCs w:val="24"/>
        </w:rPr>
        <w:t xml:space="preserve"> </w:t>
      </w:r>
      <w:r w:rsidR="001A601E" w:rsidRPr="000257D4">
        <w:rPr>
          <w:rFonts w:ascii="Arial" w:eastAsia="Calibri" w:hAnsi="Arial" w:cs="Arial"/>
          <w:sz w:val="24"/>
          <w:szCs w:val="24"/>
        </w:rPr>
        <w:t>committee.</w:t>
      </w:r>
    </w:p>
    <w:p w14:paraId="3164A04D" w14:textId="77777777" w:rsidR="003130EB" w:rsidRPr="001A601E" w:rsidRDefault="003130EB" w:rsidP="003130EB">
      <w:pPr>
        <w:tabs>
          <w:tab w:val="left" w:pos="3000"/>
        </w:tabs>
        <w:spacing w:after="0" w:line="276" w:lineRule="auto"/>
        <w:ind w:left="3000" w:right="266"/>
        <w:rPr>
          <w:rFonts w:ascii="Arial" w:eastAsia="Calibri" w:hAnsi="Arial" w:cs="Arial"/>
          <w:color w:val="FF0000"/>
          <w:sz w:val="24"/>
          <w:szCs w:val="24"/>
        </w:rPr>
      </w:pPr>
    </w:p>
    <w:p w14:paraId="7C66684F" w14:textId="7663A5EC" w:rsidR="003130EB" w:rsidRDefault="003130EB" w:rsidP="000257D4">
      <w:pPr>
        <w:pStyle w:val="ListParagraph"/>
        <w:numPr>
          <w:ilvl w:val="0"/>
          <w:numId w:val="2"/>
        </w:numPr>
        <w:tabs>
          <w:tab w:val="left" w:pos="3000"/>
        </w:tabs>
        <w:spacing w:after="0" w:line="240" w:lineRule="auto"/>
        <w:rPr>
          <w:rFonts w:ascii="Arial" w:eastAsia="Calibri" w:hAnsi="Arial" w:cs="Arial"/>
          <w:sz w:val="24"/>
          <w:szCs w:val="24"/>
        </w:rPr>
      </w:pPr>
      <w:r w:rsidRPr="000257D4">
        <w:rPr>
          <w:rFonts w:ascii="Arial" w:eastAsia="Calibri" w:hAnsi="Arial" w:cs="Arial"/>
          <w:sz w:val="24"/>
          <w:szCs w:val="24"/>
        </w:rPr>
        <w:t>The actual movement of money shall be by the usual authorised signatories</w:t>
      </w:r>
      <w:r w:rsidR="000257D4">
        <w:rPr>
          <w:rFonts w:ascii="Arial" w:eastAsia="Calibri" w:hAnsi="Arial" w:cs="Arial"/>
          <w:sz w:val="24"/>
          <w:szCs w:val="24"/>
        </w:rPr>
        <w:t>.</w:t>
      </w:r>
    </w:p>
    <w:p w14:paraId="4584EE37" w14:textId="77777777" w:rsidR="000257D4" w:rsidRPr="000257D4" w:rsidRDefault="000257D4" w:rsidP="000257D4">
      <w:pPr>
        <w:tabs>
          <w:tab w:val="left" w:pos="3000"/>
        </w:tabs>
        <w:spacing w:after="0" w:line="240" w:lineRule="auto"/>
        <w:rPr>
          <w:rFonts w:ascii="Arial" w:eastAsia="Calibri" w:hAnsi="Arial" w:cs="Arial"/>
          <w:sz w:val="24"/>
          <w:szCs w:val="24"/>
        </w:rPr>
      </w:pPr>
    </w:p>
    <w:p w14:paraId="7FBCA3B2" w14:textId="77777777" w:rsidR="003130EB" w:rsidRPr="0035042F" w:rsidRDefault="003130EB" w:rsidP="003130EB">
      <w:pPr>
        <w:spacing w:line="37" w:lineRule="exact"/>
        <w:rPr>
          <w:rFonts w:ascii="Arial" w:hAnsi="Arial" w:cs="Arial"/>
          <w:sz w:val="24"/>
          <w:szCs w:val="24"/>
        </w:rPr>
      </w:pPr>
    </w:p>
    <w:p w14:paraId="02E0CD64" w14:textId="7C0CF802"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3.</w:t>
      </w:r>
      <w:r w:rsidR="000257D4">
        <w:rPr>
          <w:rFonts w:ascii="Arial" w:eastAsia="Calibri" w:hAnsi="Arial" w:cs="Arial"/>
          <w:sz w:val="24"/>
          <w:szCs w:val="24"/>
        </w:rPr>
        <w:t>6</w:t>
      </w:r>
      <w:r w:rsidRPr="0035042F">
        <w:rPr>
          <w:rFonts w:ascii="Arial" w:hAnsi="Arial" w:cs="Arial"/>
          <w:sz w:val="24"/>
          <w:szCs w:val="24"/>
        </w:rPr>
        <w:tab/>
      </w:r>
      <w:r w:rsidRPr="0035042F">
        <w:rPr>
          <w:rFonts w:ascii="Arial" w:eastAsia="Calibri" w:hAnsi="Arial" w:cs="Arial"/>
          <w:sz w:val="24"/>
          <w:szCs w:val="24"/>
        </w:rPr>
        <w:t>The procedure for undertaking investments, considering the need for timely and speedy placing of deals</w:t>
      </w:r>
      <w:r>
        <w:rPr>
          <w:rFonts w:ascii="Arial" w:eastAsia="Calibri" w:hAnsi="Arial" w:cs="Arial"/>
          <w:sz w:val="24"/>
          <w:szCs w:val="24"/>
        </w:rPr>
        <w:t>,</w:t>
      </w:r>
      <w:r w:rsidRPr="0035042F">
        <w:rPr>
          <w:rFonts w:ascii="Arial" w:eastAsia="Calibri" w:hAnsi="Arial" w:cs="Arial"/>
          <w:sz w:val="24"/>
          <w:szCs w:val="24"/>
        </w:rPr>
        <w:t xml:space="preserve"> shall be documented by the Responsible Financial Officer and approved by </w:t>
      </w:r>
      <w:r w:rsidRPr="009B3DAA">
        <w:rPr>
          <w:rFonts w:ascii="Arial" w:eastAsia="Calibri" w:hAnsi="Arial" w:cs="Arial"/>
          <w:sz w:val="24"/>
          <w:szCs w:val="24"/>
          <w:highlight w:val="yellow"/>
        </w:rPr>
        <w:t xml:space="preserve">the </w:t>
      </w:r>
      <w:r w:rsidR="009B3DAA" w:rsidRPr="009B3DAA">
        <w:rPr>
          <w:rFonts w:ascii="Arial" w:eastAsia="Calibri" w:hAnsi="Arial" w:cs="Arial"/>
          <w:sz w:val="24"/>
          <w:szCs w:val="24"/>
          <w:highlight w:val="yellow"/>
        </w:rPr>
        <w:t xml:space="preserve">Chair of </w:t>
      </w:r>
      <w:r w:rsidRPr="009B3DAA">
        <w:rPr>
          <w:rFonts w:ascii="Arial" w:eastAsia="Calibri" w:hAnsi="Arial" w:cs="Arial"/>
          <w:sz w:val="24"/>
          <w:szCs w:val="24"/>
          <w:highlight w:val="yellow"/>
        </w:rPr>
        <w:t xml:space="preserve">Finance </w:t>
      </w:r>
      <w:r w:rsidR="009B3DAA" w:rsidRPr="009B3DAA">
        <w:rPr>
          <w:rFonts w:ascii="Arial" w:eastAsia="Calibri" w:hAnsi="Arial" w:cs="Arial"/>
          <w:sz w:val="24"/>
          <w:szCs w:val="24"/>
          <w:highlight w:val="yellow"/>
        </w:rPr>
        <w:t xml:space="preserve">&amp; Policy </w:t>
      </w:r>
      <w:r w:rsidRPr="009B3DAA">
        <w:rPr>
          <w:rFonts w:ascii="Arial" w:eastAsia="Calibri" w:hAnsi="Arial" w:cs="Arial"/>
          <w:sz w:val="24"/>
          <w:szCs w:val="24"/>
          <w:highlight w:val="yellow"/>
        </w:rPr>
        <w:t>Committee</w:t>
      </w:r>
      <w:r w:rsidRPr="0035042F">
        <w:rPr>
          <w:rFonts w:ascii="Arial" w:eastAsia="Calibri" w:hAnsi="Arial" w:cs="Arial"/>
          <w:sz w:val="24"/>
          <w:szCs w:val="24"/>
        </w:rPr>
        <w:t xml:space="preserve"> before any investments are placed.</w:t>
      </w:r>
    </w:p>
    <w:p w14:paraId="05343432" w14:textId="40B71EF3" w:rsidR="003130EB" w:rsidRDefault="003656D9" w:rsidP="003130EB">
      <w:pPr>
        <w:tabs>
          <w:tab w:val="left" w:pos="2260"/>
        </w:tabs>
        <w:spacing w:line="279" w:lineRule="auto"/>
        <w:ind w:left="2280" w:right="266" w:hanging="613"/>
        <w:rPr>
          <w:rFonts w:ascii="Arial" w:hAnsi="Arial" w:cs="Arial"/>
          <w:sz w:val="24"/>
          <w:szCs w:val="24"/>
        </w:rPr>
      </w:pPr>
      <w:r>
        <w:rPr>
          <w:rFonts w:ascii="Arial" w:eastAsia="Calibri" w:hAnsi="Arial" w:cs="Arial"/>
          <w:sz w:val="24"/>
          <w:szCs w:val="24"/>
        </w:rPr>
        <w:t>4</w:t>
      </w:r>
      <w:r w:rsidR="003130EB" w:rsidRPr="0035042F">
        <w:rPr>
          <w:rFonts w:ascii="Arial" w:eastAsia="Calibri" w:hAnsi="Arial" w:cs="Arial"/>
          <w:sz w:val="24"/>
          <w:szCs w:val="24"/>
        </w:rPr>
        <w:t>.</w:t>
      </w:r>
      <w:r>
        <w:rPr>
          <w:rFonts w:ascii="Arial" w:eastAsia="Calibri" w:hAnsi="Arial" w:cs="Arial"/>
          <w:sz w:val="24"/>
          <w:szCs w:val="24"/>
        </w:rPr>
        <w:t>0</w:t>
      </w:r>
      <w:r w:rsidR="003130EB" w:rsidRPr="0035042F">
        <w:rPr>
          <w:rFonts w:ascii="Arial" w:hAnsi="Arial" w:cs="Arial"/>
          <w:sz w:val="24"/>
          <w:szCs w:val="24"/>
        </w:rPr>
        <w:tab/>
      </w:r>
      <w:r w:rsidR="000257D4">
        <w:rPr>
          <w:rFonts w:ascii="Arial" w:hAnsi="Arial" w:cs="Arial"/>
          <w:sz w:val="24"/>
          <w:szCs w:val="24"/>
        </w:rPr>
        <w:t>Investments will be regularly monitored by monthly statements being seen by the Chair of Finance and Policy and the Finance and Policy Committee annually.</w:t>
      </w:r>
    </w:p>
    <w:p w14:paraId="3393E8C3" w14:textId="77777777" w:rsidR="000257D4" w:rsidRPr="0035042F" w:rsidRDefault="000257D4" w:rsidP="003130EB">
      <w:pPr>
        <w:tabs>
          <w:tab w:val="left" w:pos="2260"/>
        </w:tabs>
        <w:spacing w:line="279" w:lineRule="auto"/>
        <w:ind w:left="2280" w:right="266" w:hanging="613"/>
        <w:rPr>
          <w:rFonts w:ascii="Arial" w:hAnsi="Arial" w:cs="Arial"/>
          <w:sz w:val="24"/>
          <w:szCs w:val="24"/>
        </w:rPr>
      </w:pPr>
    </w:p>
    <w:p w14:paraId="3EC324DA" w14:textId="77777777" w:rsidR="003130EB" w:rsidRPr="00C92DB6" w:rsidRDefault="003130EB" w:rsidP="003130EB">
      <w:pPr>
        <w:ind w:left="1560"/>
        <w:rPr>
          <w:rFonts w:ascii="Arial" w:hAnsi="Arial" w:cs="Arial"/>
          <w:b/>
          <w:bCs/>
          <w:sz w:val="24"/>
          <w:szCs w:val="24"/>
        </w:rPr>
      </w:pPr>
      <w:bookmarkStart w:id="0" w:name="page3"/>
      <w:bookmarkEnd w:id="0"/>
      <w:r w:rsidRPr="00C92DB6">
        <w:rPr>
          <w:rFonts w:ascii="Arial" w:eastAsia="Calibri" w:hAnsi="Arial" w:cs="Arial"/>
          <w:b/>
          <w:bCs/>
          <w:sz w:val="24"/>
          <w:szCs w:val="24"/>
        </w:rPr>
        <w:t>4 - REVISION</w:t>
      </w:r>
    </w:p>
    <w:p w14:paraId="5F69A2FD" w14:textId="37C824BA" w:rsidR="003130EB" w:rsidRPr="0035042F" w:rsidRDefault="003130EB" w:rsidP="003130EB">
      <w:pPr>
        <w:tabs>
          <w:tab w:val="left" w:pos="2260"/>
        </w:tabs>
        <w:ind w:left="2160" w:hanging="500"/>
        <w:rPr>
          <w:rFonts w:ascii="Arial" w:hAnsi="Arial" w:cs="Arial"/>
          <w:sz w:val="24"/>
          <w:szCs w:val="24"/>
        </w:rPr>
      </w:pPr>
      <w:r w:rsidRPr="0035042F">
        <w:rPr>
          <w:rFonts w:ascii="Arial" w:eastAsia="Calibri" w:hAnsi="Arial" w:cs="Arial"/>
          <w:sz w:val="24"/>
          <w:szCs w:val="24"/>
        </w:rPr>
        <w:t>4.1</w:t>
      </w:r>
      <w:r w:rsidR="003656D9" w:rsidRPr="0035042F">
        <w:rPr>
          <w:rFonts w:ascii="Arial" w:hAnsi="Arial" w:cs="Arial"/>
          <w:sz w:val="24"/>
          <w:szCs w:val="24"/>
        </w:rPr>
        <w:tab/>
      </w:r>
      <w:r w:rsidR="003656D9">
        <w:rPr>
          <w:rFonts w:ascii="Arial" w:hAnsi="Arial" w:cs="Arial"/>
          <w:sz w:val="24"/>
          <w:szCs w:val="24"/>
        </w:rPr>
        <w:t xml:space="preserve"> Any</w:t>
      </w:r>
      <w:r w:rsidRPr="0035042F">
        <w:rPr>
          <w:rFonts w:ascii="Arial" w:eastAsia="Calibri" w:hAnsi="Arial" w:cs="Arial"/>
          <w:sz w:val="24"/>
          <w:szCs w:val="24"/>
        </w:rPr>
        <w:t xml:space="preserve"> revisions to this policy shall be </w:t>
      </w:r>
      <w:r w:rsidR="009B3DAA" w:rsidRPr="009B3DAA">
        <w:rPr>
          <w:rFonts w:ascii="Arial" w:eastAsia="Calibri" w:hAnsi="Arial" w:cs="Arial"/>
          <w:sz w:val="24"/>
          <w:szCs w:val="24"/>
          <w:highlight w:val="yellow"/>
        </w:rPr>
        <w:t>reviewed by the Finance &amp; Policy Committee and</w:t>
      </w:r>
      <w:r w:rsidR="009B3DAA">
        <w:rPr>
          <w:rFonts w:ascii="Arial" w:eastAsia="Calibri" w:hAnsi="Arial" w:cs="Arial"/>
          <w:sz w:val="24"/>
          <w:szCs w:val="24"/>
        </w:rPr>
        <w:t xml:space="preserve"> </w:t>
      </w:r>
      <w:r w:rsidRPr="0035042F">
        <w:rPr>
          <w:rFonts w:ascii="Arial" w:eastAsia="Calibri" w:hAnsi="Arial" w:cs="Arial"/>
          <w:sz w:val="24"/>
          <w:szCs w:val="24"/>
        </w:rPr>
        <w:t xml:space="preserve">approved by the Full </w:t>
      </w:r>
      <w:r>
        <w:rPr>
          <w:rFonts w:ascii="Arial" w:eastAsia="Calibri" w:hAnsi="Arial" w:cs="Arial"/>
          <w:sz w:val="24"/>
          <w:szCs w:val="24"/>
        </w:rPr>
        <w:t>C</w:t>
      </w:r>
      <w:r w:rsidRPr="0035042F">
        <w:rPr>
          <w:rFonts w:ascii="Arial" w:eastAsia="Calibri" w:hAnsi="Arial" w:cs="Arial"/>
          <w:sz w:val="24"/>
          <w:szCs w:val="24"/>
        </w:rPr>
        <w:t>ouncil.</w:t>
      </w:r>
    </w:p>
    <w:p w14:paraId="729EB2BA" w14:textId="77777777" w:rsidR="003130EB" w:rsidRPr="0035042F" w:rsidRDefault="003130EB" w:rsidP="003130EB">
      <w:pPr>
        <w:spacing w:line="37" w:lineRule="exact"/>
        <w:rPr>
          <w:rFonts w:ascii="Arial" w:hAnsi="Arial" w:cs="Arial"/>
          <w:sz w:val="24"/>
          <w:szCs w:val="24"/>
        </w:rPr>
      </w:pPr>
    </w:p>
    <w:p w14:paraId="4D3B7C36" w14:textId="070838BD" w:rsidR="003130EB" w:rsidRPr="0035042F" w:rsidRDefault="003130EB" w:rsidP="003130EB">
      <w:pPr>
        <w:tabs>
          <w:tab w:val="left" w:pos="2260"/>
        </w:tabs>
        <w:spacing w:line="276" w:lineRule="auto"/>
        <w:ind w:left="2280" w:right="266" w:hanging="613"/>
        <w:rPr>
          <w:rFonts w:ascii="Arial" w:hAnsi="Arial" w:cs="Arial"/>
          <w:sz w:val="24"/>
          <w:szCs w:val="24"/>
        </w:rPr>
      </w:pPr>
      <w:r w:rsidRPr="0035042F">
        <w:rPr>
          <w:rFonts w:ascii="Arial" w:eastAsia="Calibri" w:hAnsi="Arial" w:cs="Arial"/>
          <w:sz w:val="24"/>
          <w:szCs w:val="24"/>
        </w:rPr>
        <w:t>4.2</w:t>
      </w:r>
      <w:r w:rsidRPr="0035042F">
        <w:rPr>
          <w:rFonts w:ascii="Arial" w:hAnsi="Arial" w:cs="Arial"/>
          <w:sz w:val="24"/>
          <w:szCs w:val="24"/>
        </w:rPr>
        <w:tab/>
      </w:r>
      <w:r w:rsidRPr="0035042F">
        <w:rPr>
          <w:rFonts w:ascii="Arial" w:eastAsia="Calibri" w:hAnsi="Arial" w:cs="Arial"/>
          <w:sz w:val="24"/>
          <w:szCs w:val="24"/>
        </w:rPr>
        <w:t xml:space="preserve">The Finance </w:t>
      </w:r>
      <w:r w:rsidR="000257D4">
        <w:rPr>
          <w:rFonts w:ascii="Arial" w:eastAsia="Calibri" w:hAnsi="Arial" w:cs="Arial"/>
          <w:sz w:val="24"/>
          <w:szCs w:val="24"/>
        </w:rPr>
        <w:t xml:space="preserve">and policy </w:t>
      </w:r>
      <w:r w:rsidRPr="0035042F">
        <w:rPr>
          <w:rFonts w:ascii="Arial" w:eastAsia="Calibri" w:hAnsi="Arial" w:cs="Arial"/>
          <w:sz w:val="24"/>
          <w:szCs w:val="24"/>
        </w:rPr>
        <w:t>Committee shall review this policy annually and recommend any proposed changes to Full Council</w:t>
      </w:r>
      <w:r w:rsidR="000257D4">
        <w:rPr>
          <w:rFonts w:ascii="Arial" w:eastAsia="Calibri" w:hAnsi="Arial" w:cs="Arial"/>
          <w:sz w:val="24"/>
          <w:szCs w:val="24"/>
        </w:rPr>
        <w:t>.</w:t>
      </w:r>
    </w:p>
    <w:p w14:paraId="47D6300A" w14:textId="77777777" w:rsidR="003130EB" w:rsidRDefault="003130EB" w:rsidP="003130EB">
      <w:pPr>
        <w:rPr>
          <w:rFonts w:cstheme="minorHAnsi"/>
          <w:b/>
          <w:bCs/>
          <w:sz w:val="28"/>
          <w:szCs w:val="28"/>
        </w:rPr>
      </w:pPr>
    </w:p>
    <w:sectPr w:rsidR="003130EB" w:rsidSect="0070647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539C" w14:textId="77777777" w:rsidR="0070647C" w:rsidRDefault="0070647C" w:rsidP="00563323">
      <w:pPr>
        <w:spacing w:after="0" w:line="240" w:lineRule="auto"/>
      </w:pPr>
      <w:r>
        <w:separator/>
      </w:r>
    </w:p>
  </w:endnote>
  <w:endnote w:type="continuationSeparator" w:id="0">
    <w:p w14:paraId="1472FFEE" w14:textId="77777777" w:rsidR="0070647C" w:rsidRDefault="0070647C" w:rsidP="005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21A" w14:textId="4F706F21" w:rsidR="00563323" w:rsidRDefault="00563323">
    <w:pPr>
      <w:pStyle w:val="Footer"/>
    </w:pPr>
    <w:r>
      <w:rPr>
        <w:noProof/>
        <w:color w:val="4472C4" w:themeColor="accent1"/>
      </w:rPr>
      <mc:AlternateContent>
        <mc:Choice Requires="wps">
          <w:drawing>
            <wp:anchor distT="0" distB="0" distL="114300" distR="114300" simplePos="0" relativeHeight="251668992" behindDoc="0" locked="0" layoutInCell="1" allowOverlap="1" wp14:anchorId="6A6F84CB" wp14:editId="53465ED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2539AF" id="Rectangle 452" o:spid="_x0000_s1026" style="position:absolute;margin-left:0;margin-top:0;width:579.9pt;height:750.3pt;z-index:2516689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0257D4">
      <w:rPr>
        <w:color w:val="4472C4" w:themeColor="accent1"/>
      </w:rPr>
      <w:t>January 2024</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EC0" w14:textId="77777777" w:rsidR="0070647C" w:rsidRDefault="0070647C" w:rsidP="00563323">
      <w:pPr>
        <w:spacing w:after="0" w:line="240" w:lineRule="auto"/>
      </w:pPr>
      <w:r>
        <w:separator/>
      </w:r>
    </w:p>
  </w:footnote>
  <w:footnote w:type="continuationSeparator" w:id="0">
    <w:p w14:paraId="67A880F0" w14:textId="77777777" w:rsidR="0070647C" w:rsidRDefault="0070647C" w:rsidP="00563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DF1"/>
    <w:multiLevelType w:val="hybridMultilevel"/>
    <w:tmpl w:val="DDE4F44A"/>
    <w:lvl w:ilvl="0" w:tplc="6F78BDCC">
      <w:start w:val="1"/>
      <w:numFmt w:val="lowerLetter"/>
      <w:lvlText w:val="%1."/>
      <w:lvlJc w:val="left"/>
    </w:lvl>
    <w:lvl w:ilvl="1" w:tplc="BB30D508">
      <w:numFmt w:val="decimal"/>
      <w:lvlText w:val=""/>
      <w:lvlJc w:val="left"/>
    </w:lvl>
    <w:lvl w:ilvl="2" w:tplc="125461CC">
      <w:numFmt w:val="decimal"/>
      <w:lvlText w:val=""/>
      <w:lvlJc w:val="left"/>
    </w:lvl>
    <w:lvl w:ilvl="3" w:tplc="61161710">
      <w:numFmt w:val="decimal"/>
      <w:lvlText w:val=""/>
      <w:lvlJc w:val="left"/>
    </w:lvl>
    <w:lvl w:ilvl="4" w:tplc="47C6C6DA">
      <w:numFmt w:val="decimal"/>
      <w:lvlText w:val=""/>
      <w:lvlJc w:val="left"/>
    </w:lvl>
    <w:lvl w:ilvl="5" w:tplc="10EC9B3A">
      <w:numFmt w:val="decimal"/>
      <w:lvlText w:val=""/>
      <w:lvlJc w:val="left"/>
    </w:lvl>
    <w:lvl w:ilvl="6" w:tplc="669608C6">
      <w:numFmt w:val="decimal"/>
      <w:lvlText w:val=""/>
      <w:lvlJc w:val="left"/>
    </w:lvl>
    <w:lvl w:ilvl="7" w:tplc="E30CD766">
      <w:numFmt w:val="decimal"/>
      <w:lvlText w:val=""/>
      <w:lvlJc w:val="left"/>
    </w:lvl>
    <w:lvl w:ilvl="8" w:tplc="E5EA0186">
      <w:numFmt w:val="decimal"/>
      <w:lvlText w:val=""/>
      <w:lvlJc w:val="left"/>
    </w:lvl>
  </w:abstractNum>
  <w:abstractNum w:abstractNumId="1" w15:restartNumberingAfterBreak="0">
    <w:nsid w:val="5BE35668"/>
    <w:multiLevelType w:val="hybridMultilevel"/>
    <w:tmpl w:val="1F22D07C"/>
    <w:lvl w:ilvl="0" w:tplc="41D29BEC">
      <w:start w:val="1"/>
      <w:numFmt w:val="lowerLetter"/>
      <w:lvlText w:val="%1."/>
      <w:lvlJc w:val="left"/>
      <w:pPr>
        <w:ind w:left="3032" w:hanging="360"/>
      </w:pPr>
      <w:rPr>
        <w:rFonts w:hint="default"/>
      </w:rPr>
    </w:lvl>
    <w:lvl w:ilvl="1" w:tplc="08090019" w:tentative="1">
      <w:start w:val="1"/>
      <w:numFmt w:val="lowerLetter"/>
      <w:lvlText w:val="%2."/>
      <w:lvlJc w:val="left"/>
      <w:pPr>
        <w:ind w:left="3752" w:hanging="360"/>
      </w:pPr>
    </w:lvl>
    <w:lvl w:ilvl="2" w:tplc="0809001B" w:tentative="1">
      <w:start w:val="1"/>
      <w:numFmt w:val="lowerRoman"/>
      <w:lvlText w:val="%3."/>
      <w:lvlJc w:val="right"/>
      <w:pPr>
        <w:ind w:left="4472" w:hanging="180"/>
      </w:pPr>
    </w:lvl>
    <w:lvl w:ilvl="3" w:tplc="0809000F" w:tentative="1">
      <w:start w:val="1"/>
      <w:numFmt w:val="decimal"/>
      <w:lvlText w:val="%4."/>
      <w:lvlJc w:val="left"/>
      <w:pPr>
        <w:ind w:left="5192" w:hanging="360"/>
      </w:pPr>
    </w:lvl>
    <w:lvl w:ilvl="4" w:tplc="08090019" w:tentative="1">
      <w:start w:val="1"/>
      <w:numFmt w:val="lowerLetter"/>
      <w:lvlText w:val="%5."/>
      <w:lvlJc w:val="left"/>
      <w:pPr>
        <w:ind w:left="5912" w:hanging="360"/>
      </w:pPr>
    </w:lvl>
    <w:lvl w:ilvl="5" w:tplc="0809001B" w:tentative="1">
      <w:start w:val="1"/>
      <w:numFmt w:val="lowerRoman"/>
      <w:lvlText w:val="%6."/>
      <w:lvlJc w:val="right"/>
      <w:pPr>
        <w:ind w:left="6632" w:hanging="180"/>
      </w:pPr>
    </w:lvl>
    <w:lvl w:ilvl="6" w:tplc="0809000F" w:tentative="1">
      <w:start w:val="1"/>
      <w:numFmt w:val="decimal"/>
      <w:lvlText w:val="%7."/>
      <w:lvlJc w:val="left"/>
      <w:pPr>
        <w:ind w:left="7352" w:hanging="360"/>
      </w:pPr>
    </w:lvl>
    <w:lvl w:ilvl="7" w:tplc="08090019" w:tentative="1">
      <w:start w:val="1"/>
      <w:numFmt w:val="lowerLetter"/>
      <w:lvlText w:val="%8."/>
      <w:lvlJc w:val="left"/>
      <w:pPr>
        <w:ind w:left="8072" w:hanging="360"/>
      </w:pPr>
    </w:lvl>
    <w:lvl w:ilvl="8" w:tplc="0809001B" w:tentative="1">
      <w:start w:val="1"/>
      <w:numFmt w:val="lowerRoman"/>
      <w:lvlText w:val="%9."/>
      <w:lvlJc w:val="right"/>
      <w:pPr>
        <w:ind w:left="8792" w:hanging="180"/>
      </w:pPr>
    </w:lvl>
  </w:abstractNum>
  <w:num w:numId="1" w16cid:durableId="292444641">
    <w:abstractNumId w:val="0"/>
  </w:num>
  <w:num w:numId="2" w16cid:durableId="2127113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E"/>
    <w:rsid w:val="000257D4"/>
    <w:rsid w:val="00044AAD"/>
    <w:rsid w:val="00091873"/>
    <w:rsid w:val="000A4BA8"/>
    <w:rsid w:val="000C7508"/>
    <w:rsid w:val="000F51A0"/>
    <w:rsid w:val="00103FBA"/>
    <w:rsid w:val="00112116"/>
    <w:rsid w:val="00113FEA"/>
    <w:rsid w:val="00145844"/>
    <w:rsid w:val="0018123E"/>
    <w:rsid w:val="0019665B"/>
    <w:rsid w:val="001A601E"/>
    <w:rsid w:val="001E005C"/>
    <w:rsid w:val="001F79C5"/>
    <w:rsid w:val="00232B30"/>
    <w:rsid w:val="00257ED3"/>
    <w:rsid w:val="0026612B"/>
    <w:rsid w:val="00281EBD"/>
    <w:rsid w:val="003130EB"/>
    <w:rsid w:val="003656D9"/>
    <w:rsid w:val="003734BB"/>
    <w:rsid w:val="00415451"/>
    <w:rsid w:val="00442482"/>
    <w:rsid w:val="0045167A"/>
    <w:rsid w:val="004F452F"/>
    <w:rsid w:val="004F4E60"/>
    <w:rsid w:val="00505116"/>
    <w:rsid w:val="00563323"/>
    <w:rsid w:val="00572639"/>
    <w:rsid w:val="00587BCF"/>
    <w:rsid w:val="005B66A0"/>
    <w:rsid w:val="0062006A"/>
    <w:rsid w:val="006748F3"/>
    <w:rsid w:val="00675CBA"/>
    <w:rsid w:val="00676489"/>
    <w:rsid w:val="00681C11"/>
    <w:rsid w:val="006B427B"/>
    <w:rsid w:val="0070647C"/>
    <w:rsid w:val="00743CB1"/>
    <w:rsid w:val="008A6CD4"/>
    <w:rsid w:val="00942494"/>
    <w:rsid w:val="009B3DAA"/>
    <w:rsid w:val="00A64F8E"/>
    <w:rsid w:val="00A66578"/>
    <w:rsid w:val="00AA590F"/>
    <w:rsid w:val="00B517E4"/>
    <w:rsid w:val="00B57D03"/>
    <w:rsid w:val="00B75C91"/>
    <w:rsid w:val="00BF2D81"/>
    <w:rsid w:val="00DC31F5"/>
    <w:rsid w:val="00DC412F"/>
    <w:rsid w:val="00DE7067"/>
    <w:rsid w:val="00EF0185"/>
    <w:rsid w:val="00EF6D48"/>
    <w:rsid w:val="00F1376E"/>
    <w:rsid w:val="00F320A5"/>
    <w:rsid w:val="00F7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1AE"/>
  <w15:chartTrackingRefBased/>
  <w15:docId w15:val="{3825DB9B-9321-414F-A8A2-A584928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23"/>
  </w:style>
  <w:style w:type="paragraph" w:styleId="Footer">
    <w:name w:val="footer"/>
    <w:basedOn w:val="Normal"/>
    <w:link w:val="FooterChar"/>
    <w:uiPriority w:val="99"/>
    <w:unhideWhenUsed/>
    <w:rsid w:val="00563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23"/>
  </w:style>
  <w:style w:type="table" w:styleId="TableGrid">
    <w:name w:val="Table Grid"/>
    <w:basedOn w:val="TableNormal"/>
    <w:uiPriority w:val="39"/>
    <w:rsid w:val="005B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EB"/>
    <w:rPr>
      <w:rFonts w:ascii="Segoe UI" w:hAnsi="Segoe UI" w:cs="Segoe UI"/>
      <w:sz w:val="18"/>
      <w:szCs w:val="18"/>
    </w:rPr>
  </w:style>
  <w:style w:type="character" w:styleId="CommentReference">
    <w:name w:val="annotation reference"/>
    <w:basedOn w:val="DefaultParagraphFont"/>
    <w:uiPriority w:val="99"/>
    <w:semiHidden/>
    <w:unhideWhenUsed/>
    <w:rsid w:val="003130EB"/>
    <w:rPr>
      <w:sz w:val="16"/>
      <w:szCs w:val="16"/>
    </w:rPr>
  </w:style>
  <w:style w:type="paragraph" w:styleId="CommentText">
    <w:name w:val="annotation text"/>
    <w:basedOn w:val="Normal"/>
    <w:link w:val="CommentTextChar"/>
    <w:uiPriority w:val="99"/>
    <w:semiHidden/>
    <w:unhideWhenUsed/>
    <w:rsid w:val="003130EB"/>
    <w:pPr>
      <w:spacing w:line="240" w:lineRule="auto"/>
    </w:pPr>
    <w:rPr>
      <w:sz w:val="20"/>
      <w:szCs w:val="20"/>
    </w:rPr>
  </w:style>
  <w:style w:type="character" w:customStyle="1" w:styleId="CommentTextChar">
    <w:name w:val="Comment Text Char"/>
    <w:basedOn w:val="DefaultParagraphFont"/>
    <w:link w:val="CommentText"/>
    <w:uiPriority w:val="99"/>
    <w:semiHidden/>
    <w:rsid w:val="003130EB"/>
    <w:rPr>
      <w:sz w:val="20"/>
      <w:szCs w:val="20"/>
    </w:rPr>
  </w:style>
  <w:style w:type="paragraph" w:styleId="ListParagraph">
    <w:name w:val="List Paragraph"/>
    <w:basedOn w:val="Normal"/>
    <w:uiPriority w:val="34"/>
    <w:qFormat/>
    <w:rsid w:val="0002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Jayne Topham</cp:lastModifiedBy>
  <cp:revision>2</cp:revision>
  <dcterms:created xsi:type="dcterms:W3CDTF">2024-01-10T15:43:00Z</dcterms:created>
  <dcterms:modified xsi:type="dcterms:W3CDTF">2024-01-10T15:43:00Z</dcterms:modified>
</cp:coreProperties>
</file>