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F4D3A" w14:textId="592CC259" w:rsidR="004737DA" w:rsidRDefault="00CE2854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72BC851B" wp14:editId="1B453A5E">
                <wp:extent cx="9949180" cy="340995"/>
                <wp:effectExtent l="0" t="0" r="0" b="190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9180" cy="340995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B4782" w14:textId="40E76055" w:rsidR="004737DA" w:rsidRDefault="000845E2">
                            <w:pPr>
                              <w:pStyle w:val="BodyText"/>
                              <w:spacing w:before="171"/>
                              <w:ind w:left="6192" w:right="6189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 xml:space="preserve">PLANNING </w:t>
                            </w:r>
                            <w:r w:rsidR="00FF05E9">
                              <w:rPr>
                                <w:color w:val="FFFFFF"/>
                              </w:rPr>
                              <w:t>APPEAL DECISIONS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2BC85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783.4pt;height:2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" fillcolor="#5b9bd4" stroked="f">
                <v:textbox inset="0,0,0,0">
                  <w:txbxContent>
                    <w:p w14:paraId="454B4782" w14:textId="40E76055" w:rsidR="004737DA" w:rsidRDefault="000845E2">
                      <w:pPr>
                        <w:pStyle w:val="BodyText"/>
                        <w:spacing w:before="171"/>
                        <w:ind w:left="6192" w:right="6189"/>
                        <w:jc w:val="center"/>
                      </w:pPr>
                      <w:r>
                        <w:rPr>
                          <w:color w:val="FFFFFF"/>
                        </w:rPr>
                        <w:t xml:space="preserve">PLANNING </w:t>
                      </w:r>
                      <w:r w:rsidR="00FF05E9">
                        <w:rPr>
                          <w:color w:val="FFFFFF"/>
                        </w:rPr>
                        <w:t>APPEAL DECISIONS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561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"/>
        <w:gridCol w:w="1801"/>
        <w:gridCol w:w="1843"/>
        <w:gridCol w:w="3969"/>
        <w:gridCol w:w="2835"/>
        <w:gridCol w:w="2126"/>
        <w:gridCol w:w="2571"/>
      </w:tblGrid>
      <w:tr w:rsidR="00D93D47" w14:paraId="531DC0F8" w14:textId="77777777" w:rsidTr="00FF05E9">
        <w:trPr>
          <w:trHeight w:val="365"/>
        </w:trPr>
        <w:tc>
          <w:tcPr>
            <w:tcW w:w="467" w:type="dxa"/>
            <w:tcBorders>
              <w:bottom w:val="nil"/>
            </w:tcBorders>
            <w:shd w:val="clear" w:color="auto" w:fill="DEEAF6"/>
          </w:tcPr>
          <w:p w14:paraId="1B22692A" w14:textId="77777777" w:rsidR="004737DA" w:rsidRPr="00D93D47" w:rsidRDefault="000845E2">
            <w:pPr>
              <w:pStyle w:val="TableParagraph"/>
              <w:spacing w:before="61"/>
              <w:rPr>
                <w:rFonts w:ascii="Carlito"/>
                <w:color w:val="000000" w:themeColor="text1"/>
                <w:sz w:val="20"/>
              </w:rPr>
            </w:pPr>
            <w:r w:rsidRPr="00D93D47">
              <w:rPr>
                <w:rFonts w:ascii="Carlito"/>
                <w:color w:val="000000" w:themeColor="text1"/>
                <w:sz w:val="20"/>
              </w:rPr>
              <w:t>NO</w:t>
            </w:r>
          </w:p>
        </w:tc>
        <w:tc>
          <w:tcPr>
            <w:tcW w:w="1801" w:type="dxa"/>
            <w:vMerge w:val="restart"/>
            <w:tcBorders>
              <w:bottom w:val="nil"/>
            </w:tcBorders>
            <w:shd w:val="clear" w:color="auto" w:fill="DEEAF6"/>
          </w:tcPr>
          <w:p w14:paraId="1229217D" w14:textId="77777777" w:rsidR="004737DA" w:rsidRPr="00D93D47" w:rsidRDefault="000845E2" w:rsidP="00D93D47">
            <w:pPr>
              <w:pStyle w:val="TableParagraph"/>
              <w:spacing w:before="61"/>
              <w:ind w:left="604" w:right="98" w:hanging="342"/>
              <w:jc w:val="center"/>
              <w:rPr>
                <w:rFonts w:ascii="Carlito"/>
                <w:color w:val="000000" w:themeColor="text1"/>
                <w:sz w:val="20"/>
              </w:rPr>
            </w:pPr>
            <w:r w:rsidRPr="00D93D47">
              <w:rPr>
                <w:rFonts w:ascii="Carlito"/>
                <w:color w:val="000000" w:themeColor="text1"/>
                <w:sz w:val="20"/>
              </w:rPr>
              <w:t>APPLICANT NO.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EEAF6"/>
          </w:tcPr>
          <w:p w14:paraId="4EF678D9" w14:textId="77777777" w:rsidR="004737DA" w:rsidRPr="00D93D47" w:rsidRDefault="000845E2" w:rsidP="00D93D47">
            <w:pPr>
              <w:pStyle w:val="TableParagraph"/>
              <w:spacing w:before="61"/>
              <w:ind w:left="89" w:right="98"/>
              <w:jc w:val="center"/>
              <w:rPr>
                <w:rFonts w:ascii="Carlito"/>
                <w:color w:val="000000" w:themeColor="text1"/>
                <w:sz w:val="20"/>
              </w:rPr>
            </w:pPr>
            <w:r w:rsidRPr="00D93D47">
              <w:rPr>
                <w:rFonts w:ascii="Carlito"/>
                <w:color w:val="000000" w:themeColor="text1"/>
                <w:sz w:val="20"/>
              </w:rPr>
              <w:t>APPLICANT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DEEAF6"/>
          </w:tcPr>
          <w:p w14:paraId="6086FEC3" w14:textId="77777777" w:rsidR="004737DA" w:rsidRPr="00D93D47" w:rsidRDefault="000845E2">
            <w:pPr>
              <w:pStyle w:val="TableParagraph"/>
              <w:spacing w:before="61"/>
              <w:ind w:left="637"/>
              <w:rPr>
                <w:rFonts w:ascii="Carlito"/>
                <w:color w:val="000000" w:themeColor="text1"/>
                <w:sz w:val="20"/>
              </w:rPr>
            </w:pPr>
            <w:r w:rsidRPr="00D93D47">
              <w:rPr>
                <w:rFonts w:ascii="Carlito"/>
                <w:color w:val="000000" w:themeColor="text1"/>
                <w:sz w:val="20"/>
              </w:rPr>
              <w:t>PROPOSAL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DEEAF6"/>
          </w:tcPr>
          <w:p w14:paraId="35E86831" w14:textId="77777777" w:rsidR="004737DA" w:rsidRPr="00D93D47" w:rsidRDefault="000845E2">
            <w:pPr>
              <w:pStyle w:val="TableParagraph"/>
              <w:spacing w:before="61"/>
              <w:ind w:left="88" w:right="97"/>
              <w:jc w:val="center"/>
              <w:rPr>
                <w:rFonts w:ascii="Carlito"/>
                <w:color w:val="000000" w:themeColor="text1"/>
                <w:sz w:val="20"/>
              </w:rPr>
            </w:pPr>
            <w:r w:rsidRPr="00D93D47">
              <w:rPr>
                <w:rFonts w:ascii="Carlito"/>
                <w:color w:val="000000" w:themeColor="text1"/>
                <w:sz w:val="20"/>
              </w:rPr>
              <w:t>LOCATION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DEEAF6"/>
          </w:tcPr>
          <w:p w14:paraId="2FF1E21D" w14:textId="2BD7BB8C" w:rsidR="004737DA" w:rsidRPr="00D93D47" w:rsidRDefault="00FF05E9">
            <w:pPr>
              <w:pStyle w:val="TableParagraph"/>
              <w:spacing w:before="61"/>
              <w:ind w:left="135" w:right="142"/>
              <w:jc w:val="center"/>
              <w:rPr>
                <w:rFonts w:ascii="Carlito"/>
                <w:color w:val="000000" w:themeColor="text1"/>
                <w:sz w:val="20"/>
              </w:rPr>
            </w:pPr>
            <w:r>
              <w:rPr>
                <w:rFonts w:ascii="Carlito"/>
                <w:color w:val="000000" w:themeColor="text1"/>
                <w:sz w:val="20"/>
              </w:rPr>
              <w:t>DECISION</w:t>
            </w:r>
          </w:p>
        </w:tc>
        <w:tc>
          <w:tcPr>
            <w:tcW w:w="2571" w:type="dxa"/>
            <w:tcBorders>
              <w:bottom w:val="nil"/>
            </w:tcBorders>
            <w:shd w:val="clear" w:color="auto" w:fill="DEEAF6"/>
          </w:tcPr>
          <w:p w14:paraId="6D7C42DB" w14:textId="129AC5F1" w:rsidR="004737DA" w:rsidRPr="00D93D47" w:rsidRDefault="00FF05E9" w:rsidP="00D93D47">
            <w:pPr>
              <w:pStyle w:val="TableParagraph"/>
              <w:spacing w:before="61"/>
              <w:rPr>
                <w:rFonts w:ascii="Carlito"/>
                <w:color w:val="000000" w:themeColor="text1"/>
                <w:sz w:val="20"/>
              </w:rPr>
            </w:pPr>
            <w:r>
              <w:rPr>
                <w:rFonts w:ascii="Carlito"/>
                <w:color w:val="000000" w:themeColor="text1"/>
                <w:sz w:val="20"/>
              </w:rPr>
              <w:t>WTC RESPONSE</w:t>
            </w:r>
          </w:p>
        </w:tc>
      </w:tr>
      <w:tr w:rsidR="0077462B" w14:paraId="624DEA7B" w14:textId="77777777" w:rsidTr="00FF05E9">
        <w:trPr>
          <w:trHeight w:val="269"/>
        </w:trPr>
        <w:tc>
          <w:tcPr>
            <w:tcW w:w="467" w:type="dxa"/>
            <w:vMerge w:val="restart"/>
            <w:tcBorders>
              <w:top w:val="nil"/>
            </w:tcBorders>
          </w:tcPr>
          <w:p w14:paraId="3780DC36" w14:textId="77777777" w:rsidR="004737DA" w:rsidRPr="00CD52DB" w:rsidRDefault="004737D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801" w:type="dxa"/>
            <w:vMerge/>
            <w:tcBorders>
              <w:top w:val="nil"/>
              <w:bottom w:val="nil"/>
            </w:tcBorders>
            <w:shd w:val="clear" w:color="auto" w:fill="DEEAF6"/>
          </w:tcPr>
          <w:p w14:paraId="658CCF98" w14:textId="77777777" w:rsidR="004737DA" w:rsidRPr="00CD52DB" w:rsidRDefault="004737DA" w:rsidP="00D93D47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14:paraId="6604DB19" w14:textId="77777777" w:rsidR="004737DA" w:rsidRPr="00CD52DB" w:rsidRDefault="004737DA" w:rsidP="00D93D4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vMerge w:val="restart"/>
            <w:tcBorders>
              <w:top w:val="nil"/>
            </w:tcBorders>
          </w:tcPr>
          <w:p w14:paraId="635648F6" w14:textId="77777777" w:rsidR="004737DA" w:rsidRPr="00CD52DB" w:rsidRDefault="004737D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14:paraId="003A0161" w14:textId="77777777" w:rsidR="004737DA" w:rsidRPr="00CD52DB" w:rsidRDefault="004737D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14:paraId="4C538AF4" w14:textId="77777777" w:rsidR="004737DA" w:rsidRPr="00CD52DB" w:rsidRDefault="004737D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71" w:type="dxa"/>
            <w:vMerge w:val="restart"/>
            <w:tcBorders>
              <w:top w:val="nil"/>
            </w:tcBorders>
          </w:tcPr>
          <w:p w14:paraId="3C068CA2" w14:textId="77777777" w:rsidR="004737DA" w:rsidRPr="00CD52DB" w:rsidRDefault="004737D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4737DA" w14:paraId="24ED50C3" w14:textId="77777777" w:rsidTr="00FF05E9">
        <w:trPr>
          <w:trHeight w:val="70"/>
        </w:trPr>
        <w:tc>
          <w:tcPr>
            <w:tcW w:w="467" w:type="dxa"/>
            <w:vMerge/>
            <w:tcBorders>
              <w:top w:val="nil"/>
            </w:tcBorders>
          </w:tcPr>
          <w:p w14:paraId="62296366" w14:textId="77777777" w:rsidR="004737DA" w:rsidRPr="00CD52DB" w:rsidRDefault="004737D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nil"/>
            </w:tcBorders>
          </w:tcPr>
          <w:p w14:paraId="68D71D6A" w14:textId="77777777" w:rsidR="004737DA" w:rsidRPr="00CD52DB" w:rsidRDefault="004737DA" w:rsidP="00D93D4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1F9051CA" w14:textId="77777777" w:rsidR="004737DA" w:rsidRPr="00CD52DB" w:rsidRDefault="004737DA" w:rsidP="00D93D47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14:paraId="7E9E6388" w14:textId="77777777" w:rsidR="004737DA" w:rsidRPr="00CD52DB" w:rsidRDefault="004737D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1D5D5E9B" w14:textId="77777777" w:rsidR="004737DA" w:rsidRPr="00CD52DB" w:rsidRDefault="004737D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22032013" w14:textId="77777777" w:rsidR="004737DA" w:rsidRPr="00CD52DB" w:rsidRDefault="004737D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14:paraId="6CF2427B" w14:textId="77777777" w:rsidR="004737DA" w:rsidRPr="00CD52DB" w:rsidRDefault="004737D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4737DA" w14:paraId="11FAE536" w14:textId="77777777" w:rsidTr="00FF05E9">
        <w:trPr>
          <w:trHeight w:val="700"/>
        </w:trPr>
        <w:tc>
          <w:tcPr>
            <w:tcW w:w="467" w:type="dxa"/>
          </w:tcPr>
          <w:p w14:paraId="3F4007DB" w14:textId="27A2FFCB" w:rsidR="004737DA" w:rsidRPr="00EC0F4C" w:rsidRDefault="00034A19" w:rsidP="00D93D47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01" w:type="dxa"/>
          </w:tcPr>
          <w:p w14:paraId="167A2D2F" w14:textId="2C5CB348" w:rsidR="004737DA" w:rsidRPr="00C5792E" w:rsidRDefault="00AF5752" w:rsidP="00C5792E">
            <w:pPr>
              <w:pStyle w:val="TableParagraph"/>
              <w:spacing w:line="267" w:lineRule="exact"/>
              <w:ind w:left="153"/>
              <w:jc w:val="center"/>
              <w:rPr>
                <w:rFonts w:asciiTheme="minorHAnsi" w:hAnsiTheme="minorHAnsi" w:cstheme="minorHAnsi"/>
              </w:rPr>
            </w:pPr>
            <w:r w:rsidRPr="00C5792E">
              <w:rPr>
                <w:rFonts w:asciiTheme="minorHAnsi" w:hAnsiTheme="minorHAnsi" w:cstheme="minorHAnsi"/>
              </w:rPr>
              <w:t>W/22/1845</w:t>
            </w:r>
          </w:p>
        </w:tc>
        <w:tc>
          <w:tcPr>
            <w:tcW w:w="1843" w:type="dxa"/>
          </w:tcPr>
          <w:p w14:paraId="682428A2" w14:textId="0C217ADC" w:rsidR="004737DA" w:rsidRPr="00C5792E" w:rsidRDefault="004C119D" w:rsidP="00C5792E">
            <w:pPr>
              <w:pStyle w:val="TableParagraph"/>
              <w:spacing w:line="267" w:lineRule="exact"/>
              <w:ind w:left="89" w:right="105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5792E">
              <w:rPr>
                <w:rFonts w:asciiTheme="minorHAnsi" w:hAnsiTheme="minorHAnsi" w:cstheme="minorHAnsi"/>
              </w:rPr>
              <w:t>Mr</w:t>
            </w:r>
            <w:proofErr w:type="spellEnd"/>
            <w:r w:rsidRPr="00C5792E">
              <w:rPr>
                <w:rFonts w:asciiTheme="minorHAnsi" w:hAnsiTheme="minorHAnsi" w:cstheme="minorHAnsi"/>
              </w:rPr>
              <w:t xml:space="preserve"> </w:t>
            </w:r>
            <w:r w:rsidR="00AF5752" w:rsidRPr="00C5792E">
              <w:rPr>
                <w:rFonts w:asciiTheme="minorHAnsi" w:hAnsiTheme="minorHAnsi" w:cstheme="minorHAnsi"/>
              </w:rPr>
              <w:t>Tom Webb</w:t>
            </w:r>
          </w:p>
        </w:tc>
        <w:tc>
          <w:tcPr>
            <w:tcW w:w="3969" w:type="dxa"/>
          </w:tcPr>
          <w:p w14:paraId="4E37B068" w14:textId="3295A4D9" w:rsidR="004737DA" w:rsidRPr="00C5792E" w:rsidRDefault="004C119D" w:rsidP="00EC0F4C">
            <w:pPr>
              <w:widowControl/>
              <w:adjustRightInd w:val="0"/>
              <w:rPr>
                <w:rFonts w:asciiTheme="minorHAnsi" w:hAnsiTheme="minorHAnsi" w:cstheme="minorHAnsi"/>
              </w:rPr>
            </w:pPr>
            <w:r w:rsidRPr="00C5792E">
              <w:rPr>
                <w:rFonts w:asciiTheme="minorHAnsi" w:hAnsiTheme="minorHAnsi" w:cstheme="minorHAnsi"/>
              </w:rPr>
              <w:t>D</w:t>
            </w:r>
            <w:r w:rsidRPr="00C5792E">
              <w:rPr>
                <w:rFonts w:asciiTheme="minorHAnsi" w:hAnsiTheme="minorHAnsi" w:cstheme="minorHAnsi"/>
              </w:rPr>
              <w:t xml:space="preserve">emolition of existing garage and erection of two </w:t>
            </w:r>
            <w:proofErr w:type="spellStart"/>
            <w:r w:rsidRPr="00C5792E">
              <w:rPr>
                <w:rFonts w:asciiTheme="minorHAnsi" w:hAnsiTheme="minorHAnsi" w:cstheme="minorHAnsi"/>
              </w:rPr>
              <w:t>storey</w:t>
            </w:r>
            <w:proofErr w:type="spellEnd"/>
            <w:r w:rsidRPr="00C5792E">
              <w:rPr>
                <w:rFonts w:asciiTheme="minorHAnsi" w:hAnsiTheme="minorHAnsi" w:cstheme="minorHAnsi"/>
              </w:rPr>
              <w:t xml:space="preserve"> side extension with associated external works and installation of new </w:t>
            </w:r>
            <w:proofErr w:type="spellStart"/>
            <w:r w:rsidRPr="00C5792E">
              <w:rPr>
                <w:rFonts w:asciiTheme="minorHAnsi" w:hAnsiTheme="minorHAnsi" w:cstheme="minorHAnsi"/>
              </w:rPr>
              <w:t>rooflight</w:t>
            </w:r>
            <w:proofErr w:type="spellEnd"/>
            <w:r w:rsidRPr="00C5792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35" w:type="dxa"/>
          </w:tcPr>
          <w:p w14:paraId="497772A7" w14:textId="35884238" w:rsidR="004737DA" w:rsidRPr="00C5792E" w:rsidRDefault="004C119D" w:rsidP="00C5792E">
            <w:pPr>
              <w:pStyle w:val="TableParagraph"/>
              <w:ind w:right="142"/>
              <w:rPr>
                <w:rFonts w:asciiTheme="minorHAnsi" w:hAnsiTheme="minorHAnsi" w:cstheme="minorHAnsi"/>
              </w:rPr>
            </w:pPr>
            <w:r w:rsidRPr="00C5792E">
              <w:rPr>
                <w:rFonts w:asciiTheme="minorHAnsi" w:hAnsiTheme="minorHAnsi" w:cstheme="minorHAnsi"/>
              </w:rPr>
              <w:t xml:space="preserve">5 Kirby Avenue, </w:t>
            </w:r>
            <w:proofErr w:type="spellStart"/>
            <w:r w:rsidRPr="00C5792E">
              <w:rPr>
                <w:rFonts w:asciiTheme="minorHAnsi" w:hAnsiTheme="minorHAnsi" w:cstheme="minorHAnsi"/>
              </w:rPr>
              <w:t>Woodloes</w:t>
            </w:r>
            <w:proofErr w:type="spellEnd"/>
            <w:r w:rsidRPr="00C5792E">
              <w:rPr>
                <w:rFonts w:asciiTheme="minorHAnsi" w:hAnsiTheme="minorHAnsi" w:cstheme="minorHAnsi"/>
              </w:rPr>
              <w:t xml:space="preserve"> Park, Warwick, CV34 5YY</w:t>
            </w:r>
          </w:p>
        </w:tc>
        <w:tc>
          <w:tcPr>
            <w:tcW w:w="2126" w:type="dxa"/>
          </w:tcPr>
          <w:p w14:paraId="06764797" w14:textId="3AC4BDC6" w:rsidR="004737DA" w:rsidRPr="00C5792E" w:rsidRDefault="004C119D" w:rsidP="00AB3A50">
            <w:pPr>
              <w:pStyle w:val="TableParagraph"/>
              <w:spacing w:line="267" w:lineRule="exact"/>
              <w:ind w:left="8"/>
              <w:jc w:val="center"/>
              <w:rPr>
                <w:rFonts w:asciiTheme="minorHAnsi" w:hAnsiTheme="minorHAnsi" w:cstheme="minorHAnsi"/>
              </w:rPr>
            </w:pPr>
            <w:r w:rsidRPr="00C5792E">
              <w:rPr>
                <w:rFonts w:asciiTheme="minorHAnsi" w:hAnsiTheme="minorHAnsi" w:cstheme="minorHAnsi"/>
              </w:rPr>
              <w:t>Dismissed</w:t>
            </w:r>
          </w:p>
        </w:tc>
        <w:tc>
          <w:tcPr>
            <w:tcW w:w="2571" w:type="dxa"/>
          </w:tcPr>
          <w:p w14:paraId="02A513F2" w14:textId="7F87F671" w:rsidR="004737DA" w:rsidRPr="00C5792E" w:rsidRDefault="00C5792E" w:rsidP="00C5792E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</w:rPr>
            </w:pPr>
            <w:r w:rsidRPr="00C5792E">
              <w:rPr>
                <w:rFonts w:asciiTheme="minorHAnsi" w:hAnsiTheme="minorHAnsi" w:cstheme="minorHAnsi"/>
              </w:rPr>
              <w:t>No comments</w:t>
            </w:r>
          </w:p>
        </w:tc>
      </w:tr>
    </w:tbl>
    <w:p w14:paraId="442554F1" w14:textId="77777777" w:rsidR="00E66CAE" w:rsidRDefault="00E66CAE"/>
    <w:sectPr w:rsidR="00E66CAE">
      <w:type w:val="continuous"/>
      <w:pgSz w:w="16840" w:h="11910" w:orient="landscape"/>
      <w:pgMar w:top="5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DA"/>
    <w:rsid w:val="00034A19"/>
    <w:rsid w:val="000659D6"/>
    <w:rsid w:val="000845E2"/>
    <w:rsid w:val="000C7685"/>
    <w:rsid w:val="000E0BD4"/>
    <w:rsid w:val="000F1D8B"/>
    <w:rsid w:val="00137C13"/>
    <w:rsid w:val="001637E2"/>
    <w:rsid w:val="00173238"/>
    <w:rsid w:val="001767E7"/>
    <w:rsid w:val="0018232B"/>
    <w:rsid w:val="0018401A"/>
    <w:rsid w:val="0019436D"/>
    <w:rsid w:val="001B3277"/>
    <w:rsid w:val="0020409C"/>
    <w:rsid w:val="00261AEA"/>
    <w:rsid w:val="002825F7"/>
    <w:rsid w:val="002873E6"/>
    <w:rsid w:val="00287D7A"/>
    <w:rsid w:val="002B70C7"/>
    <w:rsid w:val="002D4174"/>
    <w:rsid w:val="002D4B80"/>
    <w:rsid w:val="002D5FCB"/>
    <w:rsid w:val="002D7836"/>
    <w:rsid w:val="00325750"/>
    <w:rsid w:val="00331CB5"/>
    <w:rsid w:val="00335A45"/>
    <w:rsid w:val="0034550B"/>
    <w:rsid w:val="00347504"/>
    <w:rsid w:val="003C35BE"/>
    <w:rsid w:val="003D342A"/>
    <w:rsid w:val="003F366D"/>
    <w:rsid w:val="00433764"/>
    <w:rsid w:val="004737DA"/>
    <w:rsid w:val="0047593A"/>
    <w:rsid w:val="004C119D"/>
    <w:rsid w:val="004D73A4"/>
    <w:rsid w:val="004E241C"/>
    <w:rsid w:val="00547A71"/>
    <w:rsid w:val="00566FE1"/>
    <w:rsid w:val="005A43A5"/>
    <w:rsid w:val="005D4A0F"/>
    <w:rsid w:val="005F40E3"/>
    <w:rsid w:val="006075F2"/>
    <w:rsid w:val="006B1CDD"/>
    <w:rsid w:val="006B6D2F"/>
    <w:rsid w:val="007012EC"/>
    <w:rsid w:val="00707E79"/>
    <w:rsid w:val="00712EF2"/>
    <w:rsid w:val="0077462B"/>
    <w:rsid w:val="00780994"/>
    <w:rsid w:val="00787148"/>
    <w:rsid w:val="007F4F27"/>
    <w:rsid w:val="008074F2"/>
    <w:rsid w:val="00862067"/>
    <w:rsid w:val="008A12B6"/>
    <w:rsid w:val="008A6B34"/>
    <w:rsid w:val="008A7095"/>
    <w:rsid w:val="008C6BFC"/>
    <w:rsid w:val="0097239D"/>
    <w:rsid w:val="009855B9"/>
    <w:rsid w:val="00990634"/>
    <w:rsid w:val="009B3DC7"/>
    <w:rsid w:val="009D7D01"/>
    <w:rsid w:val="009E7702"/>
    <w:rsid w:val="00A670D9"/>
    <w:rsid w:val="00AB03B1"/>
    <w:rsid w:val="00AB3A50"/>
    <w:rsid w:val="00AC2BDE"/>
    <w:rsid w:val="00AC44F7"/>
    <w:rsid w:val="00AF5752"/>
    <w:rsid w:val="00AF66B4"/>
    <w:rsid w:val="00B21D8D"/>
    <w:rsid w:val="00B258BC"/>
    <w:rsid w:val="00B32628"/>
    <w:rsid w:val="00B751C7"/>
    <w:rsid w:val="00B77503"/>
    <w:rsid w:val="00BD00A2"/>
    <w:rsid w:val="00C5792E"/>
    <w:rsid w:val="00C60ACE"/>
    <w:rsid w:val="00C60E45"/>
    <w:rsid w:val="00CC2A13"/>
    <w:rsid w:val="00CD52DB"/>
    <w:rsid w:val="00CE2854"/>
    <w:rsid w:val="00D27D80"/>
    <w:rsid w:val="00D93D47"/>
    <w:rsid w:val="00D94958"/>
    <w:rsid w:val="00DC5B2A"/>
    <w:rsid w:val="00DE3DC6"/>
    <w:rsid w:val="00E41EDB"/>
    <w:rsid w:val="00E63169"/>
    <w:rsid w:val="00E66CAE"/>
    <w:rsid w:val="00E7134C"/>
    <w:rsid w:val="00EC0F4C"/>
    <w:rsid w:val="00ED2A0F"/>
    <w:rsid w:val="00F30B7F"/>
    <w:rsid w:val="00F62B4F"/>
    <w:rsid w:val="00FA63E2"/>
    <w:rsid w:val="00FF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BBFFE"/>
  <w15:docId w15:val="{EF7A91DB-5DC2-4CC4-A102-3307488D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Carlito" w:eastAsia="Carlito" w:hAnsi="Carlito" w:cs="Carlito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AB3A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A5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25750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2575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Supplementaries– 16th JuNE 2016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Supplementaries– 16th JuNE 2016</dc:title>
  <dc:creator>Liz Healey</dc:creator>
  <cp:lastModifiedBy>Katherine Geddes</cp:lastModifiedBy>
  <cp:revision>5</cp:revision>
  <dcterms:created xsi:type="dcterms:W3CDTF">2023-09-21T13:51:00Z</dcterms:created>
  <dcterms:modified xsi:type="dcterms:W3CDTF">2023-09-26T08:18:00Z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2021-06-11T00:00:00Z</vt:filetime>
  </property>
</Properties>
</file>